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0.png" ContentType="image/png"/>
  <Override PartName="/word/media/rId37.png" ContentType="image/png"/>
  <Override PartName="/word/media/rId64.png" ContentType="image/png"/>
  <Override PartName="/word/media/rId63.png" ContentType="image/png"/>
  <Override PartName="/word/media/rId84.png" ContentType="image/png"/>
  <Override PartName="/word/media/rId67.png" ContentType="image/png"/>
  <Override PartName="/word/media/rId70.png" ContentType="image/png"/>
  <Override PartName="/word/media/rId69.png" ContentType="image/png"/>
  <Override PartName="/word/media/rId83.png" ContentType="image/png"/>
  <Override PartName="/word/media/rId79.png" ContentType="image/png"/>
  <Override PartName="/word/media/rId66.png" ContentType="image/png"/>
  <Override PartName="/word/media/rId58.png" ContentType="image/png"/>
  <Override PartName="/word/media/rId59.png" ContentType="image/png"/>
  <Override PartName="/word/media/rId88.png" ContentType="image/png"/>
  <Override PartName="/word/media/rId99.png" ContentType="image/png"/>
  <Override PartName="/word/media/rId98.png" ContentType="image/png"/>
  <Override PartName="/word/media/rId74.png" ContentType="image/png"/>
  <Override PartName="/word/media/rId76.png" ContentType="image/png"/>
  <Override PartName="/word/media/rId61.png" ContentType="image/png"/>
  <Override PartName="/word/media/rId54.png" ContentType="image/png"/>
  <Override PartName="/word/media/rId101.png" ContentType="image/png"/>
  <Override PartName="/word/media/rId102.png" ContentType="image/png"/>
  <Override PartName="/word/media/rId86.png" ContentType="image/png"/>
  <Override PartName="/word/media/rId109.png" ContentType="image/png"/>
  <Override PartName="/word/media/rId108.png" ContentType="image/png"/>
  <Override PartName="/word/media/rId87.png" ContentType="image/png"/>
  <Override PartName="/word/media/rId110.png" ContentType="image/png"/>
  <Override PartName="/word/media/rId111.png" ContentType="image/png"/>
  <Override PartName="/word/media/image29.png" ContentType="image/png"/>
  <Override PartName="/word/media/image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t>
      </w: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r>
        <w:t xml:space="preserve">’</w:t>
      </w:r>
      <w:r>
        <w:t xml:space="preserve"> </w:t>
      </w:r>
      <w:r>
        <w:t xml:space="preserve">OR</w:t>
      </w:r>
      <w:r>
        <w:t xml:space="preserve"> </w:t>
      </w:r>
      <w:r>
        <w:t xml:space="preserve">‘</w:t>
      </w: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r>
        <w:t xml:space="preserve">’</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w:t>
      </w:r>
      <w:r>
        <w:rPr>
          <w:rStyle w:val="FootnoteReference"/>
        </w:rPr>
        <w:footnoteReference w:id="23"/>
      </w:r>
      <w:r>
        <w:t xml:space="preserve"> </w:t>
      </w:r>
      <w:r>
        <w:t xml:space="preserve">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4">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5" w:name="acknowledgments"/>
      <w:r>
        <w:t xml:space="preserve">Acknowledgments</w:t>
      </w:r>
      <w:bookmarkEnd w:id="25"/>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6" w:name="dedication"/>
      <w:r>
        <w:t xml:space="preserve">Dedication</w:t>
      </w:r>
      <w:bookmarkEnd w:id="26"/>
    </w:p>
    <w:p>
      <w:pPr>
        <w:pStyle w:val="FirstParagraph"/>
      </w:pPr>
      <w:r>
        <w:t xml:space="preserve">First, I dedicate this thesis to each person who reads it in its entirety.</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Cheers!</w:t>
      </w:r>
    </w:p>
    <w:p>
      <w:pPr>
        <w:pStyle w:val="Heading2"/>
      </w:pPr>
      <w:bookmarkStart w:id="27" w:name="introduction"/>
      <w:r>
        <w:t xml:space="preserve">Introduction</w:t>
      </w:r>
      <w:bookmarkEnd w:id="27"/>
    </w:p>
    <w:p>
      <w:pPr>
        <w:pStyle w:val="Heading3"/>
      </w:pPr>
      <w:bookmarkStart w:id="28" w:name="X950a60ad65bf96ca879ca6f7ac714147c4499d1"/>
      <w:r>
        <w:t xml:space="preserve">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Heading3"/>
      </w:pPr>
      <w:bookmarkStart w:id="29" w:name="aqueous-natural-organic-matter"/>
      <w:r>
        <w:t xml:space="preserve">Aqueous natural organic matter</w:t>
      </w:r>
      <w:bookmarkEnd w:id="29"/>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and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3"/>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watersheds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Heading4"/>
      </w:pPr>
      <w:bookmarkStart w:id="31" w:name="X2458352b66b8ecb7c67f987a899314109b31192"/>
      <w:r>
        <w:t xml:space="preserve">Source water considerations for Greater Victoria’s water supply areas</w:t>
      </w:r>
      <w:bookmarkEnd w:id="31"/>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includes most of the Leech River watershed (a major sub-catchment of the Sooke River watershed). In anticipation of future water demands, this area was designated as a supplemental water supply for Greater Victoria and is known as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pPr>
        <w:pStyle w:val="BodyText"/>
      </w:pPr>
      <w:r>
        <w:t xml:space="preserve"> </w:t>
      </w:r>
    </w:p>
    <w:p>
      <w:pPr>
        <w:pStyle w:val="BodyText"/>
      </w:pPr>
      <w:r>
        <w:t xml:space="preserve">Overall, the hydrology and water quality dynamics of the LWSA are poorly understood.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and pose a threat if a fire occurs. In the Sooke WSA, the CRD implements forest treatments designed to foster healthy forest stands capable of reducing fire intensity, such as reducing fuel hazards and creating conditions that are safe for crews to action a fire. Similar preventative fire treatments may be applied in the LWSA prior to inter-basin transfers. Developing an understanding of baseline water quality dynamics and hydrologic forces in the LWSA will help to inform forest management strategies and evaluation of the effects of fire fuel management on water supply.</w:t>
      </w:r>
    </w:p>
    <w:p>
      <w:pPr>
        <w:pStyle w:val="Heading3"/>
      </w:pPr>
      <w:bookmarkStart w:id="32" w:name="research-questions-and-objectives"/>
      <w:r>
        <w:t xml:space="preserve">Research questions and objectives</w:t>
      </w:r>
      <w:bookmarkEnd w:id="32"/>
    </w:p>
    <w:p>
      <w:pPr>
        <w:pStyle w:val="FirstParagraph"/>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Pr>
          <w:i/>
        </w:rPr>
        <w:t xml:space="preserve">refs or link</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BodyText"/>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Each research question and objective is addressed in the following chapters.</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3" w:name="spatial-and-temporal-patterns-in-doc-nom"/>
      <w:r>
        <w:t xml:space="preserve">Spatial and temporal patterns in DOC &amp; NOM</w:t>
      </w:r>
      <w:bookmarkEnd w:id="33"/>
    </w:p>
    <w:p>
      <w:pPr>
        <w:pStyle w:val="Heading3"/>
      </w:pPr>
      <w:bookmarkStart w:id="34" w:name="introduction"/>
      <w:r>
        <w:t xml:space="preserve">Introduction</w:t>
      </w:r>
      <w:bookmarkEnd w:id="34"/>
    </w:p>
    <w:p>
      <w:pPr>
        <w:pStyle w:val="FirstParagraph"/>
      </w:pPr>
      <w:r>
        <w:rPr>
          <w:i/>
        </w:rPr>
        <w:t xml:space="preserve">Research Question:</w:t>
      </w:r>
      <w:r>
        <w:t xml:space="preserve"> </w:t>
      </w:r>
      <w:r>
        <w:t xml:space="preserve">What are the ranges for DOC concentration and NOM character between adjacent drainage basins and among nested sub-catchments in the LWSA, and what influence does seasonality have on concentration of DOC and character of NOM?</w:t>
      </w:r>
    </w:p>
    <w:p>
      <w:pPr>
        <w:pStyle w:val="BodyText"/>
      </w:pPr>
      <w:r>
        <w:rPr>
          <w:i/>
        </w:rPr>
        <w:t xml:space="preserve">Research Objective:</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why do we sample?…</w:t>
      </w:r>
      <w:r>
        <w:t xml:space="preserve"> </w:t>
      </w:r>
      <w:r>
        <w:t xml:space="preserve">representative sampling…</w:t>
      </w:r>
      <w:r>
        <w:t xml:space="preserve"> </w:t>
      </w:r>
      <w:r>
        <w:t xml:space="preserve">methods of collecting samples…</w:t>
      </w:r>
      <w:r>
        <w:t xml:space="preserve"> </w:t>
      </w:r>
      <w:r>
        <w:t xml:space="preserve">-spatial representation</w:t>
      </w:r>
      <w:r>
        <w:t xml:space="preserve"> </w:t>
      </w:r>
      <w:r>
        <w:t xml:space="preserve">-temporal representation</w:t>
      </w:r>
      <w:r>
        <w:t xml:space="preserve"> </w:t>
      </w:r>
      <w:r>
        <w:t xml:space="preserve">influence of seasonality</w:t>
      </w:r>
    </w:p>
    <w:p>
      <w:pPr>
        <w:pStyle w:val="BodyText"/>
      </w:pPr>
      <w:r>
        <w:t xml:space="preserve"> </w:t>
      </w:r>
    </w:p>
    <w:p>
      <w:pPr>
        <w:pStyle w:val="BodyText"/>
      </w:pPr>
      <w:r>
        <w:t xml:space="preserve">“</w:t>
      </w:r>
      <w:r>
        <w:t xml:space="preserve">Furthermore, it can be dangerous to access river sites and/or manually collect river samples during high flows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w:t>
      </w:r>
      <w:r>
        <w:t xml:space="preserve">”</w:t>
      </w:r>
    </w:p>
    <w:p>
      <w:pPr>
        <w:pStyle w:val="BodyText"/>
      </w:pPr>
      <w:r>
        <w:t xml:space="preserve">…While synoptic grab sampling can cover a wide area over a relatively short period of time, it can be difficult to schedule a synoptic sampling campaign for specific weather and flow conditions, especially for short durations of rapid runoff (</w:t>
      </w:r>
      <w:r>
        <w:t xml:space="preserve">Harmel, King, and Slade (</w:t>
      </w:r>
      <w:hyperlink w:anchor="ref-Harmel2003">
        <w:r>
          <w:rPr>
            <w:rStyle w:val="Hyperlink"/>
          </w:rPr>
          <w:t xml:space="preserve">2003</w:t>
        </w:r>
      </w:hyperlink>
      <w:r>
        <w:t xml:space="preserve">)</w:t>
      </w:r>
      <w:r>
        <w:t xml:space="preserve">).</w:t>
      </w:r>
    </w:p>
    <w:p>
      <w:pPr>
        <w:pStyle w:val="BodyText"/>
      </w:pPr>
      <w:r>
        <w:t xml:space="preserve">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p>
    <w:p>
      <w:pPr>
        <w:pStyle w:val="BodyText"/>
      </w:pPr>
      <w:r>
        <w:t xml:space="preserve">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multiple sites in remote or difficult to access locations (</w:t>
      </w:r>
      <w:r>
        <w:t xml:space="preserve">Mackay and Taylor (</w:t>
      </w:r>
      <w:hyperlink w:anchor="ref-Mackay2012">
        <w:r>
          <w:rPr>
            <w:rStyle w:val="Hyperlink"/>
          </w:rPr>
          <w:t xml:space="preserve">2012</w:t>
        </w:r>
      </w:hyperlink>
      <w:r>
        <w:t xml:space="preserve">)</w:t>
      </w:r>
      <w:r>
        <w:t xml:space="preserve">). A siphon sampler is a passive sampling alternative to a pump sampler; it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p>
    <w:p>
      <w:pPr>
        <w:pStyle w:val="BodyText"/>
      </w:pPr>
      <w:r>
        <w:t xml:space="preserve"> </w:t>
      </w:r>
    </w:p>
    <w:p>
      <w:pPr>
        <w:pStyle w:val="Heading3"/>
      </w:pPr>
      <w:bookmarkStart w:id="35" w:name="methods"/>
      <w:r>
        <w:t xml:space="preserve">Methods</w:t>
      </w:r>
      <w:bookmarkEnd w:id="35"/>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Heading4"/>
      </w:pPr>
      <w:bookmarkStart w:id="36" w:name="sampling-sites"/>
      <w:r>
        <w:t xml:space="preserve">Sampling sites</w:t>
      </w:r>
      <w:bookmarkEnd w:id="36"/>
    </w:p>
    <w:p>
      <w:pPr>
        <w:pStyle w:val="FirstParagraph"/>
      </w:pPr>
      <w:r>
        <w:t xml:space="preserve">Most of sampling sites were located in the Leech WSA and a few key rivers in the Sooke WSA were also included (Figure</w:t>
      </w:r>
      <w:r>
        <w:t xml:space="preserve"> </w:t>
      </w:r>
      <w:r>
        <w:t xml:space="preserve">1</w:t>
      </w:r>
      <w:r>
        <w:t xml:space="preserve">). Rithet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is a likely balancing reservoir for future inter-basin transfers.</w:t>
      </w:r>
    </w:p>
    <w:p>
      <w:pPr>
        <w:pStyle w:val="BodyText"/>
      </w:pPr>
      <w:r>
        <w:t xml:space="preserve">In the LWSA, Lazar Creek and Jarvis Creek are headwaters of Cragg Creek, which is a major tributary to the Leech River, and Weeks and Chris Creek are headwater streams of the Leech River. West Leech is a major tributary to the Leech River, and Leech-Beach site was located just downstream of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1: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7"/>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1:</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5"/>
      </w:pPr>
      <w:bookmarkStart w:id="38" w:name="synoptic-sampling"/>
      <w:r>
        <w:t xml:space="preserve">Synoptic sampling</w:t>
      </w:r>
      <w:bookmarkEnd w:id="38"/>
    </w:p>
    <w:p>
      <w:pPr>
        <w:pStyle w:val="FirstParagraph"/>
      </w:pPr>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w:t>
      </w:r>
      <w:r>
        <w:t xml:space="preserve"> </w:t>
      </w:r>
      <w:r>
        <w:rPr>
          <w:i/>
        </w:rPr>
        <w:t xml:space="preserve">12</w:t>
      </w:r>
      <w:r>
        <w:t xml:space="preserve"> </w:t>
      </w:r>
      <w:r>
        <w:t xml:space="preserve">samples that were collected by CRD staff in January 2020 which were refrigerated for almost two weeks prior to filtration &amp; acidification. Samples for NOM spectroscopy were confirmed to have zero turbidity, were measured unfiltered and un-acidified.</w:t>
      </w:r>
    </w:p>
    <w:p>
      <w:pPr>
        <w:pStyle w:val="Heading5"/>
      </w:pPr>
      <w:bookmarkStart w:id="39" w:name="monitoring-sampling-stations"/>
      <w:r>
        <w:t xml:space="preserve">Monitoring &amp; sampling stations</w:t>
      </w:r>
      <w:bookmarkEnd w:id="39"/>
    </w:p>
    <w:p>
      <w:pPr>
        <w:pStyle w:val="FirstParagraph"/>
      </w:pPr>
      <w:r>
        <w:t xml:space="preserve">Six of the sampling sites in the LWSA were selected for more intensive monitoring (numbered sites in Figure</w:t>
      </w:r>
      <w:r>
        <w:t xml:space="preserve"> </w:t>
      </w:r>
      <w:r>
        <w:t xml:space="preserve">1</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enhanced passive sampling schemes.</w:t>
      </w:r>
    </w:p>
    <w:p>
      <w:pPr>
        <w:pStyle w:val="BodyText"/>
      </w:pPr>
      <w:r>
        <w:t xml:space="preserve"> </w:t>
      </w:r>
    </w:p>
    <w:p>
      <w:pPr>
        <w:pStyle w:val="BodyText"/>
      </w:pPr>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Siphon sampling bottles were used on vertical sampling racks as a cost-effective, logistically practical and reliable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2</w:t>
      </w:r>
      <w:r>
        <w:t xml:space="preserve">). 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two 1/4" (O.D.) stainless steel tubes that created the siphon system; one tube was longer than the other, both had a 180</w:t>
      </w:r>
      <m:oMath>
        <m:sSup>
          <m:e>
            <m:r>
              <m:t>​</m:t>
            </m:r>
          </m:e>
          <m:sup>
            <m:r>
              <m:t>∘</m:t>
            </m:r>
          </m:sup>
        </m:sSup>
      </m:oMath>
      <w:r>
        <w:t xml:space="preserve"> </w:t>
      </w:r>
      <w:r>
        <w:t xml:space="preserve">bend at the top end. Marine epoxy was used on the outside of siphon caps to ensure a water-tight seal around the inlet and exhaust (lower and upper tubes, respectively), and inert silicone sealant was added to the inside of lids to ensure watertightness and clean sample containment. The siphon samplers collected river water from approximately 5 cm below the surface (the distance between bend at top of intake tube to inlet orifice).</w:t>
      </w:r>
    </w:p>
    <w:p>
      <w:pPr>
        <w:pStyle w:val="CaptionedFigure"/>
      </w:pPr>
      <w:r>
        <w:drawing>
          <wp:inline>
            <wp:extent cx="2645009" cy="5296155"/>
            <wp:effectExtent b="0" l="0" r="0" t="0"/>
            <wp:docPr descr="Figure 2: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0"/>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Each time a monitoring site was visited, empty acid-washed sample bottles with siphon lids were set out on vertical racks. The stage at which each siphon bottle filled was recorded; this was the height on the stilling-well measuring tape that corresponded to the top of each siphon intake tube bend. Samples were passively collected in my absence as rivers responded to precipitation, and I retrieved them on subsequent field trips (at which point the filling-stage was double checked).</w:t>
      </w:r>
    </w:p>
    <w:p>
      <w:pPr>
        <w:pStyle w:val="BodyText"/>
      </w:pPr>
      <w:r>
        <w:t xml:space="preserve"> </w:t>
      </w:r>
    </w:p>
    <w:p>
      <w:pPr>
        <w:pStyle w:val="BodyText"/>
      </w:pPr>
      <w:r>
        <w:t xml:space="preserve">During data analysis, the observed stage at which each siphon bottle filled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pPr>
        <w:pStyle w:val="Heading6"/>
      </w:pPr>
      <w:bookmarkStart w:id="41" w:name="siphon-sampler-assumptions"/>
      <w:r>
        <w:t xml:space="preserve">Siphon sampler assumptions</w:t>
      </w:r>
      <w:bookmarkEnd w:id="41"/>
    </w:p>
    <w:p>
      <w:pPr>
        <w:pStyle w:val="FirstParagraph"/>
      </w:pPr>
      <w:r>
        <w:t xml:space="preserve">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 </w:t>
      </w:r>
    </w:p>
    <w:p>
      <w:pPr>
        <w:pStyle w:val="BodyText"/>
      </w:pPr>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pPr>
        <w:pStyle w:val="Heading6"/>
      </w:pPr>
      <w:bookmarkStart w:id="42" w:name="sampling-rack-hold-time-experiments"/>
      <w:r>
        <w:t xml:space="preserve">Sampling rack hold-time experiments</w:t>
      </w:r>
      <w:bookmarkEnd w:id="42"/>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pPr>
        <w:pStyle w:val="Heading4"/>
      </w:pPr>
      <w:bookmarkStart w:id="43" w:name="laboraory-analyses-of-water-samples"/>
      <w:r>
        <w:t xml:space="preserve">Laboraory analyses of water samples</w:t>
      </w:r>
      <w:bookmarkEnd w:id="43"/>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Heading5"/>
      </w:pPr>
      <w:bookmarkStart w:id="44" w:name="quantifying-doc-dissolved-organic-carbon"/>
      <w:r>
        <w:t xml:space="preserve">Quantifying DOC (dissolved organic carbon)</w:t>
      </w:r>
      <w:bookmarkEnd w:id="44"/>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Heading6"/>
      </w:pPr>
      <w:bookmarkStart w:id="45" w:name="sample-preparation"/>
      <w:r>
        <w:t xml:space="preserve">Sample preparation</w:t>
      </w:r>
      <w:bookmarkEnd w:id="45"/>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pPr>
        <w:pStyle w:val="Heading6"/>
      </w:pPr>
      <w:bookmarkStart w:id="46" w:name="instrumental-analysis"/>
      <w:r>
        <w:t xml:space="preserve">Instrumental analysis</w:t>
      </w:r>
      <w:bookmarkEnd w:id="46"/>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 xml:space="preserve">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w:t>
      </w:r>
    </w:p>
    <w:p>
      <w:pPr>
        <w:pStyle w:val="BodyText"/>
      </w:pPr>
      <w:r>
        <w:t xml:space="preserve">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Heading5"/>
      </w:pPr>
      <w:bookmarkStart w:id="47" w:name="X7e9e3c08bf23e8477697b7359078143289e45ae"/>
      <w:r>
        <w:t xml:space="preserve">Characterization of NOM (natural organic matter)</w:t>
      </w:r>
      <w:bookmarkEnd w:id="47"/>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pPr>
        <w:pStyle w:val="BodyText"/>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w:t>
      </w:r>
      <w:r>
        <w:t xml:space="preserve"> </w:t>
      </w:r>
      <w:r>
        <w:t xml:space="preserve">(Helms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Heading6"/>
      </w:pPr>
      <w:bookmarkStart w:id="48" w:name="sample-analysis"/>
      <w:r>
        <w:t xml:space="preserve">Sample analysis</w:t>
      </w:r>
      <w:bookmarkEnd w:id="48"/>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 </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While unfiltered water samples were analyzed in the spectrolyser for NOM, samples that had detectable turbidity (greater than 0.0000 FTU) were removed from data analysis.</w:t>
      </w:r>
    </w:p>
    <w:p>
      <w:pPr>
        <w:pStyle w:val="Heading6"/>
      </w:pPr>
      <w:bookmarkStart w:id="49" w:name="instrument-and-data-handling"/>
      <w:r>
        <w:t xml:space="preserve">Instrument and data handling</w:t>
      </w:r>
      <w:bookmarkEnd w:id="49"/>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 </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but the local representative (Aquatic Life, Ltd.) suggested a paper that reported the Global Calibration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Heading6"/>
      </w:pPr>
      <w:bookmarkStart w:id="50" w:name="suva254-specific-ultraviolet-absorbance"/>
      <w:r>
        <w:t xml:space="preserve">SUVA</w:t>
      </w:r>
      <w:r>
        <w:rPr>
          <w:vertAlign w:val="subscript"/>
        </w:rPr>
        <w:t xml:space="preserve">254</w:t>
      </w:r>
      <w:r>
        <w:t xml:space="preserve"> </w:t>
      </w:r>
      <w:r>
        <w:t xml:space="preserve">(specific ultraviolet absorbance)</w:t>
      </w:r>
      <w:bookmarkEnd w:id="50"/>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w:t>
      </w:r>
      <w:r>
        <w:t xml:space="preserve">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Heading6"/>
      </w:pPr>
      <w:bookmarkStart w:id="51"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1"/>
    </w:p>
    <w:p>
      <w:pPr>
        <w:pStyle w:val="FirstParagraph"/>
      </w:pPr>
      <w:r>
        <w:t xml:space="preserve">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 </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p>
    <w:p>
      <w:pPr>
        <w:pStyle w:val="BodyText"/>
      </w:pPr>
      <w:r>
        <w:t xml:space="preserve"> </w:t>
      </w:r>
    </w:p>
    <w:p>
      <w:pPr>
        <w:pStyle w:val="BodyText"/>
      </w:pP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Heading4"/>
      </w:pPr>
      <w:bookmarkStart w:id="52" w:name="ancilary-data-climate-and-forests"/>
      <w:r>
        <w:t xml:space="preserve">Ancilary data: climate and forests</w:t>
      </w:r>
      <w:bookmarkEnd w:id="52"/>
    </w:p>
    <w:p>
      <w:pPr>
        <w:pStyle w:val="FirstParagraph"/>
      </w:pPr>
      <w:r>
        <w:rPr>
          <w:b/>
        </w:rPr>
        <w:t xml:space="preserve">note: this section should be augmented to include data and comments on Sooke watershed also (synoptic sites)</w:t>
      </w:r>
    </w:p>
    <w:p>
      <w:pPr>
        <w:pStyle w:val="BodyText"/>
      </w:pPr>
      <w:r>
        <w:t xml:space="preserve">The Leech River watershed and Sooke water supply area are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falls as rain (i.e., pluvial hydroclimatic regime)</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Heading5"/>
      </w:pPr>
      <w:bookmarkStart w:id="53" w:name="weather-in-the-leech-watershed"/>
      <w:r>
        <w:t xml:space="preserve">Weather in the Leech watershed</w:t>
      </w:r>
      <w:bookmarkEnd w:id="53"/>
    </w:p>
    <w:p>
      <w:pPr>
        <w:pStyle w:val="FirstParagraph"/>
      </w:pPr>
      <w:r>
        <w:t xml:space="preserve">The Capital Regional District (CRD) provided data from these two fire-weather (</w:t>
      </w:r>
      <w:r>
        <w:t xml:space="preserve">“</w:t>
      </w:r>
      <w:r>
        <w:t xml:space="preserve">FWx</w:t>
      </w:r>
      <w:r>
        <w:t xml:space="preserve">”</w:t>
      </w:r>
      <w:r>
        <w:t xml:space="preserve">) stations in the Leech water supply area (LWSA). Chris Creek weather station is located in the headwaters of the Leech watershed and Martin’s Gulch is located near the future point of diversion, the Leech River Tunnel (Table</w:t>
      </w:r>
      <w:r>
        <w:t xml:space="preserve"> </w:t>
      </w:r>
      <w:r>
        <w:t xml:space="preserve">2</w:t>
      </w:r>
      <w:r>
        <w:t xml:space="preserve"> </w:t>
      </w:r>
      <w:r>
        <w:t xml:space="preserve">&amp; Figure @ref(fig:???), Chapter 1).</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Data from January 2018 to March 2020 were provided and used to define sampling seasons and were employed in quality control assessments of vertical rack samples.</w:t>
      </w:r>
    </w:p>
    <w:p>
      <w:pPr>
        <w:pStyle w:val="SourceCode"/>
      </w:pPr>
      <w:r>
        <w:rPr>
          <w:rStyle w:val="VerbatimChar"/>
        </w:rPr>
        <w:t xml:space="preserve">possibly move this into intro and just keep means here.</w:t>
      </w:r>
      <w:r>
        <w:br/>
      </w:r>
      <w:r>
        <w:rPr>
          <w:rStyle w:val="VerbatimChar"/>
        </w:rPr>
        <w:t xml:space="preserve">Slightly more precipitation was recorded at Martin's Gulch than Chris Creek station (Figure \@ref(fig:WxLWSA), Table \@ref(tab:WxLWSAdata)).</w:t>
      </w:r>
      <w:r>
        <w:br/>
      </w:r>
      <w:r>
        <w:br/>
      </w:r>
      <w:r>
        <w:rPr>
          <w:rStyle w:val="VerbatimChar"/>
        </w:rPr>
        <w:t xml:space="preserve">\  </w:t>
      </w:r>
      <w:r>
        <w:br/>
      </w:r>
      <w:r>
        <w:rPr>
          <w:rStyle w:val="VerbatimChar"/>
        </w:rPr>
        <w:t xml:space="preserve"> </w:t>
      </w:r>
      <w:r>
        <w:br/>
      </w:r>
      <w:r>
        <w:rPr>
          <w:rStyle w:val="VerbatimChar"/>
        </w:rPr>
        <w:t xml:space="preserve">![(\#fig:WxLWSA)\label{fig:WxLWSA} *Weather from FWx stations in the Leech water supply area. Coloured sections of plots highlight the field study period of this project.*](R-outputs_UBC-forWater-MSc_HMc/figures/Wx_LWSA.png){width=100%}</w:t>
      </w:r>
      <w:r>
        <w:br/>
      </w:r>
      <w:r>
        <w:br/>
      </w:r>
      <w:r>
        <w:rPr>
          <w:rStyle w:val="VerbatimChar"/>
        </w:rPr>
        <w:t xml:space="preserve">\  </w:t>
      </w:r>
      <w:r>
        <w:br/>
      </w:r>
      <w:r>
        <w:br/>
      </w:r>
      <w:r>
        <w:br/>
      </w:r>
      <w:r>
        <w:rPr>
          <w:rStyle w:val="VerbatimChar"/>
        </w:rPr>
        <w:t xml:space="preserve">Table: (\#tab:WxLWSAdata)Annual weather from CRD FWx stations in the Leech water supply area*</w:t>
      </w:r>
      <w:r>
        <w:br/>
      </w:r>
      <w:r>
        <w:br/>
      </w:r>
      <w:r>
        <w:rPr>
          <w:rStyle w:val="VerbatimChar"/>
        </w:rPr>
        <w:t xml:space="preserve">|Year         |station name      | annual rain. (mm)| max snow (m)| mean air temp. (°C)| stdev air temp. (± °C)| mean max. temp. (°C)| mean min. temp. (°C)|</w:t>
      </w:r>
      <w:r>
        <w:br/>
      </w:r>
      <w:r>
        <w:rPr>
          <w:rStyle w:val="VerbatimChar"/>
        </w:rPr>
        <w:t xml:space="preserve">|:------------|:-----------------|-----------------:|------------:|-------------------:|----------------------:|--------------------:|--------------------:|</w:t>
      </w:r>
      <w:r>
        <w:br/>
      </w:r>
      <w:r>
        <w:rPr>
          <w:rStyle w:val="VerbatimChar"/>
        </w:rPr>
        <w:t xml:space="preserve">|2018         |FWx Chris Creek   |            1967.8|         0.53|                 8.1|                    7.5|                -11.9|                 34.8|</w:t>
      </w:r>
      <w:r>
        <w:br/>
      </w:r>
      <w:r>
        <w:rPr>
          <w:rStyle w:val="VerbatimChar"/>
        </w:rPr>
        <w:t xml:space="preserve">|2018         |FWx Martins Gulch |            2042.3|         0.24|                 8.9|                    7.3|                 -9.5|                 32.9|</w:t>
      </w:r>
      <w:r>
        <w:br/>
      </w:r>
      <w:r>
        <w:rPr>
          <w:rStyle w:val="VerbatimChar"/>
        </w:rPr>
        <w:t xml:space="preserve">|2019         |FWx Chris Creek   |            1428.4|         0.48|                 7.5|                    7.2|                -13.7|                 31.9|</w:t>
      </w:r>
      <w:r>
        <w:br/>
      </w:r>
      <w:r>
        <w:rPr>
          <w:rStyle w:val="VerbatimChar"/>
        </w:rPr>
        <w:t xml:space="preserve">|2019         |FWx Martins Gulch |            1486.7|         0.35|                 8.4|                    6.9|                -12.7|                 30.5|</w:t>
      </w:r>
      <w:r>
        <w:br/>
      </w:r>
      <w:r>
        <w:rPr>
          <w:rStyle w:val="VerbatimChar"/>
        </w:rPr>
        <w:t xml:space="preserve">|Jan-Feb 2020 |FWx Chris Creek   |             837.2|         0.62|                 1.6|                    3.7|                 -9.6|                 10.5|</w:t>
      </w:r>
      <w:r>
        <w:br/>
      </w:r>
      <w:r>
        <w:rPr>
          <w:rStyle w:val="VerbatimChar"/>
        </w:rPr>
        <w:t xml:space="preserve">|Jan-Feb 2020 |FWx Martins Gulch |             930.4|         0.51|                 2.2|                    3.6|                 -9.3|                 11.2|</w:t>
      </w:r>
      <w:r>
        <w:br/>
      </w:r>
      <w:r>
        <w:br/>
      </w:r>
      <w:r>
        <w:rPr>
          <w:rStyle w:val="VerbatimChar"/>
        </w:rPr>
        <w:t xml:space="preserve">\  </w:t>
      </w:r>
    </w:p>
    <w:p>
      <w:pPr>
        <w:pStyle w:val="FirstParagraph"/>
      </w:pPr>
      <w:r>
        <w:t xml:space="preserve">Average LWSA weather data was calculated as arithmetic means from Chris Creek and Martin’s Gulch FWx stations data (Figure</w:t>
      </w:r>
      <w:r>
        <w:t xml:space="preserve"> </w:t>
      </w:r>
      <w:r>
        <w:t xml:space="preserve">3</w:t>
      </w:r>
      <w:r>
        <w:t xml:space="preserve">, Table</w:t>
      </w:r>
      <w:r>
        <w:t xml:space="preserve"> </w:t>
      </w:r>
      <w:r>
        <w:t xml:space="preserve">3</w:t>
      </w:r>
      <w:r>
        <w:t xml:space="preserve">). It was assumed that the arithmetic means of rainfall from these two FWx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delineating seasons.</w:t>
      </w:r>
    </w:p>
    <w:p>
      <w:pPr>
        <w:pStyle w:val="BodyText"/>
      </w:pPr>
      <w:r>
        <w:t xml:space="preserve"> </w:t>
      </w:r>
    </w:p>
    <w:p>
      <w:pPr>
        <w:pStyle w:val="CaptionedFigure"/>
      </w:pPr>
      <w:r>
        <w:drawing>
          <wp:inline>
            <wp:extent cx="5504749" cy="5504749"/>
            <wp:effectExtent b="0" l="0" r="0" t="0"/>
            <wp:docPr descr="Figure 3: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w:t>
      </w:r>
      <w:r>
        <w:t xml:space="preserve"> </w:t>
      </w:r>
      <w:r>
        <w:rPr>
          <w:i/>
        </w:rPr>
        <w:t xml:space="preserve">Average weather from two stations in the Leech water supply area, where the highlighted section indicates the study period.</w:t>
      </w:r>
    </w:p>
    <w:p>
      <w:pPr>
        <w:pStyle w:val="BodyText"/>
      </w:pPr>
      <w:r>
        <w:t xml:space="preserve"> </w:t>
      </w:r>
    </w:p>
    <w:p>
      <w:pPr>
        <w:pStyle w:val="TableCaption"/>
      </w:pPr>
      <w:r>
        <w:t xml:space="preserve">Table 3:</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3: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1.92</w:t>
            </w:r>
          </w:p>
        </w:tc>
        <w:tc>
          <w:p>
            <w:pPr>
              <w:pStyle w:val="Compact"/>
              <w:jc w:val="right"/>
            </w:pPr>
            <w:r>
              <w:t xml:space="preserve">0.55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0.79</w:t>
            </w:r>
          </w:p>
        </w:tc>
        <w:tc>
          <w:p>
            <w:pPr>
              <w:pStyle w:val="Compact"/>
              <w:jc w:val="right"/>
            </w:pPr>
            <w:r>
              <w:t xml:space="preserve">0.71</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1.92</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6"/>
      </w:pPr>
      <w:bookmarkStart w:id="55" w:name="defining-seasons"/>
      <w:r>
        <w:t xml:space="preserve">Defining seasons</w:t>
      </w:r>
      <w:bookmarkEnd w:id="55"/>
    </w:p>
    <w:p>
      <w:pPr>
        <w:pStyle w:val="FirstParagraph"/>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3</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Heading3"/>
      </w:pPr>
      <w:bookmarkStart w:id="56" w:name="results"/>
      <w:r>
        <w:t xml:space="preserve">Results</w:t>
      </w:r>
      <w:bookmarkEnd w:id="56"/>
    </w:p>
    <w:p>
      <w:pPr>
        <w:pStyle w:val="FirstParagraph"/>
      </w:pPr>
      <w:r>
        <w:t xml:space="preserve">Over the sixteen-month field study, 426 river samples were collected and analyzed for DOC, and 318 of those samples were analyzed for NOM by UV-Vis (Table</w:t>
      </w:r>
      <w:r>
        <w:t xml:space="preserve"> </w:t>
      </w:r>
      <w:r>
        <w:t xml:space="preserve">4</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UV-Vis data were reduced by 19.5% (to 256 samples): quality control resulted in a 9% reduction, with the additional 10.5% data loss unfortunately caused during instrument maintenance.</w:t>
      </w:r>
    </w:p>
    <w:p>
      <w:pPr>
        <w:pStyle w:val="BodyText"/>
      </w:pPr>
      <w:r>
        <w:t xml:space="preserve"> </w:t>
      </w:r>
    </w:p>
    <w:p>
      <w:pPr>
        <w:pStyle w:val="TableCaption"/>
      </w:pPr>
      <w:r>
        <w:t xml:space="preserve">Table 4:</w:t>
      </w:r>
      <w:r>
        <w:t xml:space="preserve"> </w:t>
      </w:r>
      <w:r>
        <w:rPr>
          <w:i/>
        </w:rPr>
        <w:t xml:space="preserve">Summary of samples collected</w:t>
      </w:r>
    </w:p>
    <w:tbl>
      <w:tblPr>
        <w:tblStyle w:val="Table"/>
        <w:tblW w:type="pct" w:w="5000.0"/>
        <w:tblLook w:firstRow="1"/>
        <w:tblCaption w:val="Table 4: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7" w:name="vertical-rack-sampling-quality-control"/>
      <w:r>
        <w:t xml:space="preserve">Vertical rack sampling quality control</w:t>
      </w:r>
      <w:bookmarkEnd w:id="57"/>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w:t>
      </w:r>
      <w:r>
        <w:t xml:space="preserve"> </w:t>
      </w:r>
      <w:r>
        <w:t xml:space="preserve">4</w:t>
      </w:r>
      <w:r>
        <w:t xml:space="preserve">).</w:t>
      </w:r>
    </w:p>
    <w:p>
      <w:pPr>
        <w:pStyle w:val="BodyText"/>
      </w:pPr>
      <w:r>
        <w:t xml:space="preserve"> </w:t>
      </w:r>
    </w:p>
    <w:p>
      <w:pPr>
        <w:pStyle w:val="CaptionedFigure"/>
      </w:pPr>
      <w:r>
        <w:drawing>
          <wp:inline>
            <wp:extent cx="5504749" cy="5046020"/>
            <wp:effectExtent b="0" l="0" r="0" t="0"/>
            <wp:docPr descr="Figure 4: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58"/>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5</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5</w:t>
      </w:r>
      <w:r>
        <w:t xml:space="preserve">).</w:t>
      </w:r>
    </w:p>
    <w:p>
      <w:pPr>
        <w:pStyle w:val="BodyText"/>
      </w:pPr>
      <w:r>
        <w:t xml:space="preserve"> </w:t>
      </w:r>
    </w:p>
    <w:p>
      <w:pPr>
        <w:pStyle w:val="CaptionedFigure"/>
      </w:pPr>
      <w:r>
        <w:drawing>
          <wp:inline>
            <wp:extent cx="5504749" cy="6422207"/>
            <wp:effectExtent b="0" l="0" r="0" t="0"/>
            <wp:docPr descr="Figure 5: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59"/>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5:</w:t>
      </w:r>
      <w:r>
        <w:t xml:space="preserve"> </w:t>
      </w:r>
      <w:r>
        <w:rPr>
          <w:i/>
        </w:rPr>
        <w:t xml:space="preserve">Results comparing hold-time sample sets</w:t>
      </w:r>
    </w:p>
    <w:tbl>
      <w:tblPr>
        <w:tblStyle w:val="Table"/>
        <w:tblW w:type="pct" w:w="4999.999999999999"/>
        <w:tblLook w:firstRow="1"/>
        <w:tblCaption w:val="Table 5: Results comparing hold-time sampl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5</w:t>
      </w:r>
      <w:r>
        <w:t xml:space="preserve">, Table</w:t>
      </w:r>
      <w:r>
        <w:t xml:space="preserve"> </w:t>
      </w:r>
      <w:r>
        <w:t xml:space="preserve">5</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UV</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 </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pPr>
        <w:pStyle w:val="BodyText"/>
      </w:pPr>
      <w:r>
        <w:t xml:space="preserve"> </w:t>
      </w:r>
    </w:p>
    <w:p>
      <w:pPr>
        <w:pStyle w:val="BodyText"/>
      </w:pPr>
      <w:r>
        <w:t xml:space="preserve">Hold-times were calculated for each sample as the time between sample collection and analysis. Any Rack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w:t>
      </w:r>
    </w:p>
    <w:p>
      <w:pPr>
        <w:pStyle w:val="BodyText"/>
      </w:pPr>
      <w:r>
        <w:t xml:space="preserve"> </w:t>
      </w:r>
    </w:p>
    <w:p>
      <w:pPr>
        <w:pStyle w:val="BodyText"/>
      </w:pPr>
      <w:r>
        <w:t xml:space="preserve">Temperatures at each monitoring site were measured and recorded with Hobo TidbiT loggers from 2019-08-24 to 2020-02-18 (field study end), and temperatures prior to TidbiT deployment were estimated by linear regression (Appendix ###). QA/QC flags were used to filter sample data, reducing the effective number of samples included in results by less than 10% (Table</w:t>
      </w:r>
      <w:r>
        <w:t xml:space="preserve"> </w:t>
      </w:r>
      <w:r>
        <w:t xml:space="preserve">4</w:t>
      </w:r>
      <w:r>
        <w:t xml:space="preserve">).</w:t>
      </w:r>
    </w:p>
    <w:p>
      <w:pPr>
        <w:pStyle w:val="Heading4"/>
      </w:pPr>
      <w:bookmarkStart w:id="60" w:name="season-delineation"/>
      <w:r>
        <w:t xml:space="preserve">Season delineation</w:t>
      </w:r>
      <w:bookmarkEnd w:id="60"/>
    </w:p>
    <w:p>
      <w:pPr>
        <w:pStyle w:val="FirstParagraph"/>
      </w:pPr>
      <w:r>
        <w:t xml:space="preserve">Wet seasons were defined by conditions that generated significant stream responses and rack sample collection, and the dry season was defined by baseflow conditions where precipitation did not generate detectable stream responses at the vertical racks.</w:t>
      </w:r>
    </w:p>
    <w:p>
      <w:pPr>
        <w:pStyle w:val="BodyText"/>
      </w:pPr>
      <w:r>
        <w:t xml:space="preserve"> </w:t>
      </w:r>
    </w:p>
    <w:p>
      <w:pPr>
        <w:pStyle w:val="BodyText"/>
      </w:pPr>
      <w:r>
        <w:t xml:space="preserve">LWSA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which determined there were 151 total rain events during the study period, with 18 classified as major events that corresponded to vertical rack sample collection (Table</w:t>
      </w:r>
      <w:r>
        <w:t xml:space="preserve"> </w:t>
      </w:r>
      <w:r>
        <w:t xml:space="preserve">6</w:t>
      </w:r>
      <w:r>
        <w:t xml:space="preserve">). The conditions that defined major rain events were: precipitation accumulating to 50 mm or more, with a period of at least 14 hours passing between 50 mm events.</w:t>
      </w:r>
    </w:p>
    <w:p>
      <w:pPr>
        <w:pStyle w:val="BodyText"/>
      </w:pPr>
      <w:r>
        <w:t xml:space="preserve"> </w:t>
      </w:r>
    </w:p>
    <w:p>
      <w:pPr>
        <w:pStyle w:val="TableCaption"/>
      </w:pPr>
      <w:r>
        <w:t xml:space="preserve">Table 6:</w:t>
      </w:r>
      <w:r>
        <w:t xml:space="preserve"> </w:t>
      </w:r>
      <w:r>
        <w:rPr>
          <w:i/>
        </w:rPr>
        <w:t xml:space="preserve">Rain events defined by a threshold of 50mm with 14-hour inter-event period</w:t>
      </w:r>
    </w:p>
    <w:tbl>
      <w:tblPr>
        <w:tblStyle w:val="Table"/>
        <w:tblW w:type="pct" w:w="5000.0"/>
        <w:tblLook w:firstRow="1"/>
        <w:tblCaption w:val="Table 6: Rain events defined by a threshold of 50mm with 14-hour inter-event period"/>
      </w:tblPr>
      <w:tblGrid>
        <w:gridCol w:w="1170"/>
        <w:gridCol w:w="1440"/>
        <w:gridCol w:w="990"/>
        <w:gridCol w:w="1440"/>
        <w:gridCol w:w="1260"/>
        <w:gridCol w:w="1620"/>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t xml:space="preserve"> </w:t>
      </w:r>
    </w:p>
    <w:p>
      <w:pPr>
        <w:pStyle w:val="BodyText"/>
      </w:pPr>
      <w:r>
        <w:t xml:space="preserve">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6</w:t>
      </w:r>
      <w:r>
        <w:t xml:space="preserve">).</w:t>
      </w:r>
    </w:p>
    <w:p>
      <w:pPr>
        <w:pStyle w:val="BodyText"/>
      </w:pPr>
      <w:r>
        <w:t xml:space="preserve"> </w:t>
      </w:r>
    </w:p>
    <w:p>
      <w:pPr>
        <w:pStyle w:val="CaptionedFigure"/>
      </w:pPr>
      <w:r>
        <w:drawing>
          <wp:inline>
            <wp:extent cx="5943600" cy="7330439"/>
            <wp:effectExtent b="0" l="0" r="0" t="0"/>
            <wp:docPr descr="Figure 6: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1"/>
                    <a:stretch>
                      <a:fillRect/>
                    </a:stretch>
                  </pic:blipFill>
                  <pic:spPr bwMode="auto">
                    <a:xfrm>
                      <a:off x="0" y="0"/>
                      <a:ext cx="5943600" cy="7330439"/>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Heading4"/>
      </w:pPr>
      <w:bookmarkStart w:id="62" w:name="spatial-patterns"/>
      <w:r>
        <w:t xml:space="preserve">Spatial patterns</w:t>
      </w:r>
      <w:bookmarkEnd w:id="62"/>
    </w:p>
    <w:p>
      <w:pPr>
        <w:pStyle w:val="FirstParagraph"/>
      </w:pPr>
      <w:r>
        <w:t xml:space="preserve">Twelve river sites across the Leech and Sooke water supply areas (Figure</w:t>
      </w:r>
      <w:r>
        <w:t xml:space="preserve"> </w:t>
      </w:r>
      <w:r>
        <w:t xml:space="preserve">1</w:t>
      </w:r>
      <w:r>
        <w:t xml:space="preserve">) were sampled synoptically over the sixteen-month study period for quantification of DOC and assessment of NOM. Among these sites, several comparisons can be made: cross-basin, from LWSA to SWSA; upstream to downstream; nested catchments and sampling methods.</w:t>
      </w:r>
    </w:p>
    <w:p>
      <w:pPr>
        <w:pStyle w:val="BodyText"/>
      </w:pPr>
      <w:r>
        <w:t xml:space="preserve">Mean DOC concentrations were similar when comparing across basins from the current source water tributaries, Rithet and Judge Creeks, to the future supplemental supply, Leech River at the Tunnel (Table</w:t>
      </w:r>
      <w:r>
        <w:t xml:space="preserve"> </w:t>
      </w:r>
      <w:r>
        <w:t xml:space="preserve">7</w:t>
      </w:r>
      <w:r>
        <w:t xml:space="preserve">). From upstream to downstream sites there was an overall decreasing trend for DOC concentrations and NOM aromaticity and/or molecular size (Figure</w:t>
      </w:r>
      <w:r>
        <w:t xml:space="preserve"> </w:t>
      </w:r>
      <w:r>
        <w:t xml:space="preserve">7</w:t>
      </w:r>
      <w:r>
        <w:t xml:space="preserve">).</w:t>
      </w:r>
    </w:p>
    <w:p>
      <w:pPr>
        <w:pStyle w:val="BodyText"/>
      </w:pPr>
      <w:r>
        <w:t xml:space="preserve"> </w:t>
      </w:r>
    </w:p>
    <w:p>
      <w:pPr>
        <w:pStyle w:val="TableCaption"/>
      </w:pPr>
      <w:r>
        <w:t xml:space="preserve">Table 7:</w:t>
      </w:r>
      <w:r>
        <w:t xml:space="preserve"> </w:t>
      </w:r>
      <w:r>
        <w:rPr>
          <w:i/>
        </w:rPr>
        <w:t xml:space="preserve">Dissolved organic carbon concentrations across twelve synoptically sampled river sites</w:t>
      </w:r>
    </w:p>
    <w:tbl>
      <w:tblPr>
        <w:tblStyle w:val="Table"/>
        <w:tblW w:type="pct" w:w="5000.0"/>
        <w:tblLook w:firstRow="1"/>
        <w:tblCaption w:val="Table 7: Dissolved organic carbon concentrations across twelve synoptically sampled river sites"/>
      </w:tblPr>
      <w:tblGrid>
        <w:gridCol w:w="905"/>
        <w:gridCol w:w="3394"/>
        <w:gridCol w:w="452"/>
        <w:gridCol w:w="603"/>
        <w:gridCol w:w="452"/>
        <w:gridCol w:w="301"/>
        <w:gridCol w:w="528"/>
        <w:gridCol w:w="754"/>
        <w:gridCol w:w="52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5943600" cy="9144000"/>
            <wp:effectExtent b="0" l="0" r="0" t="0"/>
            <wp:docPr descr="Figure 7:  Synoptic sampling results of dissolved organic carbon concentrations from 13 sites over 16 months (201 grab samples)." title="" id="1" name="Picture"/>
            <a:graphic>
              <a:graphicData uri="http://schemas.openxmlformats.org/drawingml/2006/picture">
                <pic:pic>
                  <pic:nvPicPr>
                    <pic:cNvPr descr="R-outputs_UBC-forWater-MSc_HMc/figures/Ch1_boxplot_allParams-allSites-allSamples.png" id="0" name="Picture"/>
                    <pic:cNvPicPr>
                      <a:picLocks noChangeArrowheads="1" noChangeAspect="1"/>
                    </pic:cNvPicPr>
                  </pic:nvPicPr>
                  <pic:blipFill>
                    <a:blip r:embed="rId63"/>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rPr>
          <w:i/>
        </w:rPr>
        <w:t xml:space="preserve">Synoptic sampling results of dissolved organic carbon concentrations from 13 sites over 16 months (201 grab samples).</w:t>
      </w:r>
    </w:p>
    <w:p>
      <w:pPr>
        <w:pStyle w:val="BodyText"/>
      </w:pPr>
      <w:r>
        <w:t xml:space="preserve"> </w:t>
      </w:r>
    </w:p>
    <w:p>
      <w:pPr>
        <w:pStyle w:val="BodyText"/>
      </w:pPr>
      <w:r>
        <w:t xml:space="preserve">With respect to sampling methods among nested catchments of the Leech watershed, three comparisons were made to asses whether Rack sampling at a downstream site captured the same range in DOC concentration as synoptic grab sampling at upstream sites. Synoptic Grab samples from the headwater sites of Weeks and Chris Creeks were compared to all samples (Rack and Grab) from below their confluence at LeechHead site (Figure</w:t>
      </w:r>
      <w:r>
        <w:t xml:space="preserve"> </w:t>
      </w:r>
      <w:r>
        <w:t xml:space="preserve">8</w:t>
      </w:r>
      <w:r>
        <w:t xml:space="preserve">, plot A). Similarly, Grab samples collected at the headwater of Cragg Creek, Jarvis and Lazar creeks, were compared to all samples at the CraggCrk monitoring site (Figure</w:t>
      </w:r>
      <w:r>
        <w:t xml:space="preserve"> </w:t>
      </w:r>
      <w:r>
        <w:t xml:space="preserve">8</w:t>
      </w:r>
      <w:r>
        <w:t xml:space="preserve">, plot B). Note that there was a greater distance between CraggCrk site and its headwaters’ sampling locations compared to LeechHead and its headwaters’ locations. In these comparisons, the range in DOC observed in grab samples alone at the upstream sites was not obtained by combining Rack and Grab samples below their confluences. However, when higher order rivers were examined in a similar comparison, the combination of Rack and Grab samples at the mainstem (Leech Tunnel) captured the DOC range observed in Grab samples alone at the sites upstream (Figure</w:t>
      </w:r>
      <w:r>
        <w:t xml:space="preserve"> </w:t>
      </w:r>
      <w:r>
        <w:t xml:space="preserve">8</w:t>
      </w:r>
      <w:r>
        <w:t xml:space="preserve">, plot C).</w:t>
      </w:r>
    </w:p>
    <w:p>
      <w:pPr>
        <w:pStyle w:val="BodyText"/>
      </w:pPr>
      <w:r>
        <w:t xml:space="preserve">Figure</w:t>
      </w:r>
      <w:r>
        <w:t xml:space="preserve"> </w:t>
      </w:r>
      <w:r>
        <w:t xml:space="preserve">8</w:t>
      </w:r>
    </w:p>
    <w:p>
      <w:pPr>
        <w:pStyle w:val="CaptionedFigure"/>
      </w:pPr>
      <w:r>
        <w:drawing>
          <wp:inline>
            <wp:extent cx="4587290" cy="5504749"/>
            <wp:effectExtent b="0" l="0" r="0" t="0"/>
            <wp:docPr descr="Figure 8:  Synoptic sampling results of dissolved organic carbon concentrations from 13 sites over 16 months (201 grab samples)." title="" id="1" name="Picture"/>
            <a:graphic>
              <a:graphicData uri="http://schemas.openxmlformats.org/drawingml/2006/picture">
                <pic:pic>
                  <pic:nvPicPr>
                    <pic:cNvPr descr="R-outputs_UBC-forWater-MSc_HMc/figures/Ch1_DOC-boxplot_up-down_metcompar.png" id="0" name="Picture"/>
                    <pic:cNvPicPr>
                      <a:picLocks noChangeArrowheads="1" noChangeAspect="1"/>
                    </pic:cNvPicPr>
                  </pic:nvPicPr>
                  <pic:blipFill>
                    <a:blip r:embed="rId64"/>
                    <a:stretch>
                      <a:fillRect/>
                    </a:stretch>
                  </pic:blipFill>
                  <pic:spPr bwMode="auto">
                    <a:xfrm>
                      <a:off x="0" y="0"/>
                      <a:ext cx="4587290" cy="5504749"/>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Synoptic sampling results of dissolved organic carbon concentrations from 13 sites over 16 months (201 grab samples).</w:t>
      </w:r>
    </w:p>
    <w:p>
      <w:pPr>
        <w:pStyle w:val="Heading4"/>
      </w:pPr>
      <w:bookmarkStart w:id="65" w:name="temporal-patterns"/>
      <w:r>
        <w:t xml:space="preserve">Temporal patterns</w:t>
      </w:r>
      <w:bookmarkEnd w:id="65"/>
    </w:p>
    <w:p>
      <w:pPr>
        <w:pStyle w:val="FirstParagraph"/>
      </w:pPr>
      <w:r>
        <w:t xml:space="preserve">Over the study period, DOC concentrations followed similar trends across each of the six LWSA sites (Figure</w:t>
      </w:r>
      <w:r>
        <w:t xml:space="preserve"> </w:t>
      </w:r>
      <w:r>
        <w:t xml:space="preserve">9</w:t>
      </w:r>
      <w:r>
        <w:t xml:space="preserve">). DOC was highest early in the wet season and progressively decreased through the fall and winter, reaching minimum concentrations in the spring before progressively increasing again through the summer.</w:t>
      </w:r>
    </w:p>
    <w:p>
      <w:pPr>
        <w:pStyle w:val="BodyText"/>
      </w:pPr>
      <w:r>
        <w:t xml:space="preserve"> </w:t>
      </w:r>
    </w:p>
    <w:p>
      <w:pPr>
        <w:pStyle w:val="CaptionedFigure"/>
      </w:pPr>
      <w:r>
        <w:drawing>
          <wp:inline>
            <wp:extent cx="5504749" cy="5504749"/>
            <wp:effectExtent b="0" l="0" r="0" t="0"/>
            <wp:docPr descr="Figure 9:  Trends in dissolved organic carbon concentrations over sixteen months (Oct 2018 to Feb 2020) at six sites across the Leech water supply area (n = 323: 153 grab samples, 170 vertical rack samples."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6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w:t>
      </w:r>
    </w:p>
    <w:p>
      <w:pPr>
        <w:pStyle w:val="BodyText"/>
      </w:pPr>
      <w:r>
        <w:t xml:space="preserve"> </w:t>
      </w:r>
    </w:p>
    <w:p>
      <w:pPr>
        <w:pStyle w:val="BodyText"/>
      </w:pPr>
      <w:r>
        <w:t xml:space="preserve">Overall, there was very little difference between mean DOC concentration through the wet season (6.2 ± 3 mg/L) compared to the dry season (5.5 ± 3 mg/L). However, there were far fewer samples collected in the dry season than during the wet season (Figure</w:t>
      </w:r>
      <w:r>
        <w:t xml:space="preserve"> </w:t>
      </w:r>
      <w:r>
        <w:t xml:space="preserve">10</w:t>
      </w:r>
      <w:r>
        <w:t xml:space="preserve">.</w:t>
      </w:r>
    </w:p>
    <w:p>
      <w:pPr>
        <w:pStyle w:val="BodyText"/>
      </w:pPr>
      <w:r>
        <w:t xml:space="preserve"> </w:t>
      </w:r>
    </w:p>
    <w:p>
      <w:pPr>
        <w:pStyle w:val="CaptionedFigure"/>
      </w:pPr>
      <w:r>
        <w:drawing>
          <wp:inline>
            <wp:extent cx="4587290" cy="3669832"/>
            <wp:effectExtent b="0" l="0" r="0" t="0"/>
            <wp:docPr descr="Figure 10:  Boxplots of DOC concentrations at six LWSA sites during dry (n = 34) and wet (n = 90) seasons." title="" id="1" name="Picture"/>
            <a:graphic>
              <a:graphicData uri="http://schemas.openxmlformats.org/drawingml/2006/picture">
                <pic:pic>
                  <pic:nvPicPr>
                    <pic:cNvPr descr="R-outputs_UBC-forWater-MSc_HMc/figures/DOC_seasonal-subbasin_boxplots_2.png" id="0" name="Picture"/>
                    <pic:cNvPicPr>
                      <a:picLocks noChangeArrowheads="1" noChangeAspect="1"/>
                    </pic:cNvPicPr>
                  </pic:nvPicPr>
                  <pic:blipFill>
                    <a:blip r:embed="rId6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Boxplots of DOC concentrations at six LWSA sites during dry (n = 34) and wet (n = 90) seasons.</w:t>
      </w:r>
    </w:p>
    <w:p>
      <w:pPr>
        <w:pStyle w:val="Heading5"/>
      </w:pPr>
      <w:bookmarkStart w:id="68" w:name="seasonal-patterns-in-dom-character"/>
      <w:r>
        <w:t xml:space="preserve">Seasonal patterns in DOM character</w:t>
      </w:r>
      <w:bookmarkEnd w:id="68"/>
    </w:p>
    <w:p>
      <w:pPr>
        <w:pStyle w:val="FirstParagraph"/>
      </w:pPr>
      <w:r>
        <w:t xml:space="preserve">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w:t>
      </w:r>
      <w:r>
        <w:t xml:space="preserve"> </w:t>
      </w:r>
      <w:r>
        <w:t xml:space="preserve">11</w:t>
      </w:r>
      <w:r>
        <w:t xml:space="preserve"> </w:t>
      </w:r>
      <w:r>
        <w:t xml:space="preserve">shows DOC (NPOC) plotted against CDOM for all quality assured data (i.e., both Rack and Grab samples).</w:t>
      </w:r>
    </w:p>
    <w:p>
      <w:pPr>
        <w:pStyle w:val="BodyText"/>
      </w:pPr>
      <w:r>
        <w:t xml:space="preserve"> </w:t>
      </w:r>
    </w:p>
    <w:p>
      <w:pPr>
        <w:pStyle w:val="CaptionedFigure"/>
      </w:pPr>
      <w:r>
        <w:drawing>
          <wp:inline>
            <wp:extent cx="4587290" cy="4587290"/>
            <wp:effectExtent b="0" l="0" r="0" t="0"/>
            <wp:docPr descr="Figure 11:  Dissolved organic carbon measured directly (as NPOC) plotted against concentrations estimated via UV-Vis spectroscopy, with a dashed lined indicating best fit (1:1). The 276 samples are grouped by season (nwet = 210, nfirst-flush = 15,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69"/>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Dissolved organic carbon measured directly (as NPOC) plotted against concentrations estimated via UV-Vis spectroscopy, with a dashed lined indicating best fit (1:1). The 276 samples are grouped by season (n</w:t>
      </w:r>
      <w:r>
        <w:rPr>
          <w:vertAlign w:val="subscript"/>
          <w:i/>
        </w:rPr>
        <w:t xml:space="preserve">wet</w:t>
      </w:r>
      <w:r>
        <w:rPr>
          <w:i/>
        </w:rPr>
        <w:t xml:space="preserve"> </w:t>
      </w:r>
      <w:r>
        <w:rPr>
          <w:i/>
        </w:rPr>
        <w:t xml:space="preserve">= 210, n</w:t>
      </w:r>
      <w:r>
        <w:rPr>
          <w:vertAlign w:val="subscript"/>
          <w:i/>
        </w:rPr>
        <w:t xml:space="preserve">first-flush</w:t>
      </w:r>
      <w:r>
        <w:rPr>
          <w:i/>
        </w:rPr>
        <w:t xml:space="preserve"> </w:t>
      </w:r>
      <w:r>
        <w:rPr>
          <w:i/>
        </w:rPr>
        <w:t xml:space="preserve">= 15, n</w:t>
      </w:r>
      <w:r>
        <w:rPr>
          <w:vertAlign w:val="subscript"/>
          <w:i/>
        </w:rPr>
        <w:t xml:space="preserve">dry</w:t>
      </w:r>
      <w:r>
        <w:rPr>
          <w:i/>
        </w:rPr>
        <w:t xml:space="preserve"> </w:t>
      </w:r>
      <w:r>
        <w:rPr>
          <w:i/>
        </w:rPr>
        <w:t xml:space="preserve">= 27).</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 xml:space="preserve">254</w:t>
      </w:r>
      <w:r>
        <w:t xml:space="preserve">) is a widely adopted indicator of a sample’s aromaticity. SUVA</w:t>
      </w:r>
      <w:r>
        <w:rPr>
          <w:vertAlign w:val="subscript"/>
        </w:rPr>
        <w:t xml:space="preserve">254</w:t>
      </w:r>
      <w:r>
        <w:t xml:space="preserve"> </w:t>
      </w:r>
      <w:r>
        <w:t xml:space="preserve">was calculated by dividing each samples absorbance at 254nm by its DOC concentration; a larger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12</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4587290" cy="3211103"/>
            <wp:effectExtent b="0" l="0" r="0" t="0"/>
            <wp:docPr descr="Figure 12: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70"/>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Heading2"/>
      </w:pPr>
      <w:bookmarkStart w:id="71" w:name="results"/>
      <w:r>
        <w:t xml:space="preserve">Results</w:t>
      </w:r>
      <w:bookmarkEnd w:id="71"/>
    </w:p>
    <w:p>
      <w:pPr>
        <w:pStyle w:val="Heading5"/>
      </w:pPr>
      <w:bookmarkStart w:id="72" w:name="events"/>
      <w:r>
        <w:t xml:space="preserve">Rain events</w:t>
      </w:r>
      <w:bookmarkEnd w:id="72"/>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6</w:t>
      </w:r>
      <w:r>
        <w:t xml:space="preserve"> </w:t>
      </w:r>
      <w:r>
        <w:t xml:space="preserve">summarizes the eighteen major rain events that occurred during the study period (2018-10-23 to 2020-02-20).</w:t>
      </w:r>
    </w:p>
    <w:p>
      <w:pPr>
        <w:pStyle w:val="BodyText"/>
      </w:pPr>
      <w:r>
        <w:t xml:space="preserve"> </w:t>
      </w:r>
    </w:p>
    <w:p>
      <w:pPr>
        <w:pStyle w:val="SourceCode"/>
      </w:pPr>
      <w:r>
        <w:rPr>
          <w:rStyle w:val="VerbatimChar"/>
        </w:rPr>
        <w:t xml:space="preserve">{r Events}</w:t>
      </w:r>
      <w:r>
        <w:br/>
      </w:r>
      <w:r>
        <w:rPr>
          <w:rStyle w:val="VerbatimChar"/>
        </w:rPr>
        <w:t xml:space="preserve">read_csv("R-outputs_UBC-forWater-MSc_HMc/tables/Wx_Events.csv") %&gt;% </w:t>
      </w:r>
      <w:r>
        <w:br/>
      </w:r>
      <w:r>
        <w:rPr>
          <w:rStyle w:val="VerbatimChar"/>
        </w:rPr>
        <w:t xml:space="preserve">  knitr::kable(digits = c(0,0,0,1,1,1),</w:t>
      </w:r>
      <w:r>
        <w:br/>
      </w:r>
      <w:r>
        <w:rPr>
          <w:rStyle w:val="VerbatimChar"/>
        </w:rPr>
        <w:t xml:space="preserve">               caption = "*Rain events defined by a threshold of 50mm with 14-hour inter-event period*")</w:t>
      </w:r>
    </w:p>
    <w:p>
      <w:pPr>
        <w:pStyle w:val="FirstParagraph"/>
      </w:pPr>
      <w:r>
        <w:t xml:space="preserve"> </w:t>
      </w:r>
    </w:p>
    <w:p>
      <w:pPr>
        <w:pStyle w:val="BodyText"/>
      </w:pPr>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73"/>
      </w:r>
      <w:r>
        <w:t xml:space="preserve"> </w:t>
      </w:r>
      <w:r>
        <w:t xml:space="preserve">Luckily, the level-loggers were found downstream in February and (after drying the circuit boards) the data were successfully retrieved from both Odyssey loggers. Figure</w:t>
      </w:r>
      <w:r>
        <w:t xml:space="preserve"> </w:t>
      </w:r>
      <w:r>
        <w:t xml:space="preserve">13</w:t>
      </w:r>
      <w:r>
        <w:t xml:space="preserve"> </w:t>
      </w:r>
      <w:r>
        <w:t xml:space="preserve">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w:t>
      </w:r>
      <w:r>
        <w:t xml:space="preserve"> </w:t>
      </w:r>
      <w:r>
        <w:t xml:space="preserve">8</w:t>
      </w:r>
      <w:r>
        <w:t xml:space="preserve">.</w:t>
      </w:r>
    </w:p>
    <w:p>
      <w:pPr>
        <w:pStyle w:val="BodyText"/>
      </w:pPr>
      <w:r>
        <w:t xml:space="preserve"> </w:t>
      </w:r>
    </w:p>
    <w:p>
      <w:pPr>
        <w:pStyle w:val="CaptionedFigure"/>
      </w:pPr>
      <w:r>
        <w:drawing>
          <wp:inline>
            <wp:extent cx="5943600" cy="7924799"/>
            <wp:effectExtent b="0" l="0" r="0" t="0"/>
            <wp:docPr descr="Figure 13: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74"/>
                    <a:stretch>
                      <a:fillRect/>
                    </a:stretch>
                  </pic:blipFill>
                  <pic:spPr bwMode="auto">
                    <a:xfrm>
                      <a:off x="0" y="0"/>
                      <a:ext cx="5943600" cy="7924799"/>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Plot of Precipitation, rain events (as vertical lines), stream rise and sample collection at six sites across the LWSA.</w:t>
      </w:r>
    </w:p>
    <w:p>
      <w:pPr>
        <w:pStyle w:val="BodyText"/>
      </w:pPr>
      <w:r>
        <w:t xml:space="preserve"> </w:t>
      </w:r>
    </w:p>
    <w:p>
      <w:pPr>
        <w:pStyle w:val="TableCaption"/>
      </w:pPr>
      <w:r>
        <w:t xml:space="preserve">Table 8:</w:t>
      </w:r>
      <w:r>
        <w:t xml:space="preserve"> </w:t>
      </w:r>
      <w:r>
        <w:rPr>
          <w:i/>
        </w:rPr>
        <w:t xml:space="preserve">Minimum and maximum rain event values</w:t>
      </w:r>
      <w:r>
        <w:rPr>
          <w:i/>
        </w:rPr>
        <w:t xml:space="preserve"> </w:t>
      </w:r>
    </w:p>
    <w:tbl>
      <w:tblPr>
        <w:tblStyle w:val="Table"/>
        <w:tblW w:type="pct" w:w="5000.0"/>
        <w:tblLook w:firstRow="1"/>
        <w:tblCaption w:val="Table 8: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3"/>
      </w:pPr>
      <w:bookmarkStart w:id="75" w:name="X206b6dc85f2d0e8717c31364b69e2ee1378e65c"/>
      <w:r>
        <w:t xml:space="preserve">Nested sub-catchments of the Leech watershed</w:t>
      </w:r>
      <w:bookmarkEnd w:id="75"/>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w:t>
      </w:r>
      <w:r>
        <w:t xml:space="preserve">shows major precipitation events and stream response over the study period as well as the timing and stage of samples collected.</w:t>
      </w:r>
    </w:p>
    <w:p>
      <w:pPr>
        <w:pStyle w:val="BodyText"/>
      </w:pPr>
      <w:r>
        <w:t xml:space="preserve"> </w:t>
      </w:r>
    </w:p>
    <w:p>
      <w:pPr>
        <w:pStyle w:val="CaptionedFigure"/>
      </w:pPr>
      <w:r>
        <w:drawing>
          <wp:inline>
            <wp:extent cx="5504749" cy="7339665"/>
            <wp:effectExtent b="0" l="0" r="0" t="0"/>
            <wp:docPr descr="Figure 14: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76"/>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Heading4"/>
      </w:pPr>
      <w:bookmarkStart w:id="77" w:name="Xd1828956a153ce2667823a6c003a1eb0928034a"/>
      <w:r>
        <w:t xml:space="preserve">River response: spatial and temporal variance and synchrony in stage</w:t>
      </w:r>
      <w:bookmarkEnd w:id="77"/>
    </w:p>
    <w:p>
      <w:pPr>
        <w:pStyle w:val="FirstParagraph"/>
      </w:pPr>
      <w:r>
        <w:t xml:space="preserve">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Compact"/>
        <w:numPr>
          <w:numId w:val="1002"/>
          <w:ilvl w:val="0"/>
        </w:numPr>
      </w:pPr>
      <w:r>
        <w:rPr>
          <w:i/>
        </w:rPr>
        <w:t xml:space="preserve">needs work:</w:t>
      </w:r>
    </w:p>
    <w:p>
      <w:pPr>
        <w:pStyle w:val="Compact"/>
        <w:numPr>
          <w:numId w:val="1002"/>
          <w:ilvl w:val="0"/>
        </w:numPr>
      </w:pPr>
      <w:r>
        <w:t xml:space="preserve">Rates of stream response (times to peak):</w:t>
      </w:r>
      <w:r>
        <w:t xml:space="preserve"> </w:t>
      </w:r>
      <w:r>
        <w:t xml:space="preserve">9</w:t>
      </w:r>
    </w:p>
    <w:p>
      <w:pPr>
        <w:pStyle w:val="FirstParagraph"/>
      </w:pPr>
      <w:r>
        <w:t xml:space="preserve"> </w:t>
      </w:r>
    </w:p>
    <w:p>
      <w:pPr>
        <w:pStyle w:val="TableCaption"/>
      </w:pPr>
      <w:r>
        <w:t xml:space="preserve">Table 9:</w:t>
      </w:r>
      <w:r>
        <w:t xml:space="preserve"> </w:t>
      </w:r>
      <w:r>
        <w:rPr>
          <w:i/>
        </w:rPr>
        <w:t xml:space="preserve">Summary of stream response to precipitation events across the LWSA.</w:t>
      </w:r>
    </w:p>
    <w:tbl>
      <w:tblPr>
        <w:tblStyle w:val="Table"/>
        <w:tblW w:type="pct" w:w="4999.999999999999"/>
        <w:tblLook w:firstRow="1"/>
        <w:tblCaption w:val="Table 9: Summary of stream response to precipitation events across the LWSA."/>
      </w:tblPr>
      <w:tblGrid>
        <w:gridCol w:w="412"/>
        <w:gridCol w:w="1361"/>
        <w:gridCol w:w="1320"/>
        <w:gridCol w:w="1237"/>
        <w:gridCol w:w="1196"/>
        <w:gridCol w:w="1196"/>
        <w:gridCol w:w="119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0.2</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0.3</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0.3</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w:t>
            </w:r>
          </w:p>
        </w:tc>
        <w:tc>
          <w:p>
            <w:pPr>
              <w:pStyle w:val="Compact"/>
              <w:jc w:val="right"/>
            </w:pPr>
            <w:r>
              <w:t xml:space="preserve">7.4</w:t>
            </w:r>
          </w:p>
        </w:tc>
      </w:tr>
    </w:tbl>
    <w:p>
      <w:pPr>
        <w:pStyle w:val="Heading4"/>
      </w:pPr>
      <w:bookmarkStart w:id="78" w:name="spatial-variance-in-doc-concentrations"/>
      <w:r>
        <w:t xml:space="preserve">Spatial variance in DOC concentrations</w:t>
      </w:r>
      <w:bookmarkEnd w:id="78"/>
    </w:p>
    <w:p>
      <w:pPr>
        <w:pStyle w:val="FirstParagraph"/>
      </w:pPr>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or dangerous to capture by standard grab sampling, particularly across multiple sites.</w:t>
      </w:r>
    </w:p>
    <w:p>
      <w:pPr>
        <w:pStyle w:val="BodyText"/>
      </w:pPr>
      <w:r>
        <w:t xml:space="preserve">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10</w:t>
      </w:r>
      <w:r>
        <w:t xml:space="preserve">).</w:t>
      </w:r>
    </w:p>
    <w:p>
      <w:pPr>
        <w:pStyle w:val="BodyText"/>
      </w:pPr>
      <w:r>
        <w:t xml:space="preserve"> </w:t>
      </w:r>
    </w:p>
    <w:p>
      <w:pPr>
        <w:pStyle w:val="TableCaption"/>
      </w:pPr>
      <w:r>
        <w:t xml:space="preserve">Table 10:</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0: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Figure</w:t>
      </w:r>
      <w:r>
        <w:t xml:space="preserve"> </w:t>
      </w:r>
      <w:r>
        <w:t xml:space="preserve">15</w:t>
      </w:r>
      <w:r>
        <w:t xml:space="preserve"> </w:t>
      </w:r>
      <w:r>
        <w:t xml:space="preserve">shows the distribution of DOC concentrations at each of the six sites. 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w:t>
      </w:r>
    </w:p>
    <w:p>
      <w:pPr>
        <w:pStyle w:val="BodyText"/>
      </w:pPr>
      <w:r>
        <w:t xml:space="preserve"> </w:t>
      </w:r>
    </w:p>
    <w:p>
      <w:pPr>
        <w:pStyle w:val="CaptionedFigure"/>
      </w:pPr>
      <w:r>
        <w:drawing>
          <wp:inline>
            <wp:extent cx="4587290" cy="3669832"/>
            <wp:effectExtent b="0" l="0" r="0" t="0"/>
            <wp:docPr descr="Figure 15: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Table</w:t>
      </w:r>
      <w:r>
        <w:t xml:space="preserve"> </w:t>
      </w:r>
      <w:r>
        <w:t xml:space="preserve">11</w:t>
      </w:r>
      <w:r>
        <w:t xml:space="preserve"> </w:t>
      </w:r>
      <w:r>
        <w:t xml:space="preserve">summarizes the range and variability in DOC within each site and among all sites, with categorical groupings of sub-basins.</w:t>
      </w:r>
    </w:p>
    <w:p>
      <w:pPr>
        <w:pStyle w:val="BodyText"/>
      </w:pPr>
      <w:r>
        <w:t xml:space="preserve"> </w:t>
      </w:r>
    </w:p>
    <w:p>
      <w:pPr>
        <w:pStyle w:val="TableCaption"/>
      </w:pPr>
      <w:r>
        <w:t xml:space="preserve">Table 11:</w:t>
      </w:r>
      <w:r>
        <w:t xml:space="preserve"> </w:t>
      </w:r>
      <w:r>
        <w:rPr>
          <w:i/>
        </w:rPr>
        <w:t xml:space="preserve">Summary of DOC across the six LWSA research sites with each nested catchment classified by basin type.</w:t>
      </w:r>
    </w:p>
    <w:tbl>
      <w:tblPr>
        <w:tblStyle w:val="Table"/>
        <w:tblW w:type="pct" w:w="5000.0"/>
        <w:tblLook w:firstRow="1"/>
        <w:tblCaption w:val="Table 11: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80"/>
      </w:r>
    </w:p>
    <w:p>
      <w:pPr>
        <w:pStyle w:val="BodyText"/>
      </w:pPr>
      <w:r>
        <w:t xml:space="preserve">To identify which pairs of sites had equal DOC variance Levene’s test was applied to sample DOC results. Table</w:t>
      </w:r>
      <w:r>
        <w:t xml:space="preserve"> </w:t>
      </w:r>
      <w:r>
        <w:t xml:space="preserve">12</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pPr>
        <w:pStyle w:val="BodyText"/>
      </w:pPr>
      <w:r>
        <w:t xml:space="preserve"> </w:t>
      </w:r>
    </w:p>
    <w:p>
      <w:pPr>
        <w:pStyle w:val="TableCaption"/>
      </w:pPr>
      <w:r>
        <w:t xml:space="preserve">Table 12:</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12: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BodyText"/>
      </w:pPr>
      <w:r>
        <w:t xml:space="preserve"> </w:t>
      </w:r>
    </w:p>
    <w:p>
      <w:pPr>
        <w:pStyle w:val="Heading4"/>
      </w:pPr>
      <w:bookmarkStart w:id="81" w:name="temporal-trends-in-doc-seasonality"/>
      <w:r>
        <w:t xml:space="preserve">Temporal trends in DOC: seasonality</w:t>
      </w:r>
      <w:bookmarkEnd w:id="81"/>
    </w:p>
    <w:p>
      <w:pPr>
        <w:pStyle w:val="FirstParagraph"/>
      </w:pPr>
      <w:r>
        <w:t xml:space="preserve">Over the study period, DOC concentrations followed similar trends across each of the six LWSA sites (Figure</w:t>
      </w:r>
      <w:r>
        <w:t xml:space="preserve"> </w:t>
      </w:r>
      <w:r>
        <w:t xml:space="preserve">9</w:t>
      </w:r>
      <w:r>
        <w:t xml:space="preserve">). DOC was highest early in the wet season and progressively decreased through the fall and winter, reaching minimum concentrations in the spring before progressively increasing again through the summer.</w:t>
      </w:r>
    </w:p>
    <w:p>
      <w:pPr>
        <w:pStyle w:val="BodyText"/>
      </w:pPr>
      <w:r>
        <w:t xml:space="preserve"> </w:t>
      </w:r>
    </w:p>
    <w:p>
      <w:pPr>
        <w:pStyle w:val="SourceCode"/>
      </w:pPr>
      <w:r>
        <w:rPr>
          <w:rStyle w:val="VerbatimChar"/>
        </w:rPr>
        <w:t xml:space="preserve">{r DOCloess, out.width = "100%", fig.pos="h", fig.cap = fig_cap}</w:t>
      </w:r>
      <w:r>
        <w:br/>
      </w:r>
      <w:r>
        <w:rPr>
          <w:rStyle w:val="VerbatimChar"/>
        </w:rPr>
        <w:t xml:space="preserve">fig_cap = "\\label{fig:DOCloess} *Trends in dissolved organic carbon concentrations over sixteen months (Oct 2018 to Feb 2020) at six sites across the Leech water supply area (n = 323: 153 grab samples, 170 vertical rack samples.*"</w:t>
      </w:r>
      <w:r>
        <w:br/>
      </w:r>
      <w:r>
        <w:br/>
      </w:r>
      <w:r>
        <w:rPr>
          <w:rStyle w:val="VerbatimChar"/>
        </w:rPr>
        <w:t xml:space="preserve">knitr::include_graphics("R-outputs_UBC-forWater-MSc_HMc/figures/DOC_trend_bassin-type-facet_loess.png")</w:t>
      </w:r>
    </w:p>
    <w:p>
      <w:pPr>
        <w:pStyle w:val="FirstParagraph"/>
      </w:pPr>
      <w:r>
        <w:t xml:space="preserve"> </w:t>
      </w:r>
    </w:p>
    <w:p>
      <w:pPr>
        <w:pStyle w:val="BodyText"/>
      </w:pPr>
      <w:r>
        <w:t xml:space="preserve">Overall, there was very little difference between mean DOC concentration through the wet season (6.2 ± 3 mg/L) compared to the dry season (5.5 ± 3 mg/L). However, there were far fewer samples collected in the dry season than during the wet season (Figure</w:t>
      </w:r>
      <w:r>
        <w:t xml:space="preserve"> </w:t>
      </w:r>
      <w:r>
        <w:t xml:space="preserve">10</w:t>
      </w:r>
      <w:r>
        <w:t xml:space="preserve">.</w:t>
      </w:r>
    </w:p>
    <w:p>
      <w:pPr>
        <w:pStyle w:val="BodyText"/>
      </w:pPr>
      <w:r>
        <w:t xml:space="preserve"> </w:t>
      </w:r>
    </w:p>
    <w:p>
      <w:pPr>
        <w:pStyle w:val="SourceCode"/>
      </w:pPr>
      <w:r>
        <w:rPr>
          <w:rStyle w:val="VerbatimChar"/>
        </w:rPr>
        <w:t xml:space="preserve">{r DOCseasonal, out.width = "100%", fig.pos="h", fig.cap = fig_cap}</w:t>
      </w:r>
      <w:r>
        <w:br/>
      </w:r>
      <w:r>
        <w:rPr>
          <w:rStyle w:val="VerbatimChar"/>
        </w:rPr>
        <w:t xml:space="preserve">fig_cap = "\\label{fig:DOCseasonal} *Boxplots of DOC concentrations at six LWSA sites during dry (n = 34) and wet (n = 90) seasons.*"</w:t>
      </w:r>
      <w:r>
        <w:br/>
      </w:r>
      <w:r>
        <w:br/>
      </w:r>
      <w:r>
        <w:rPr>
          <w:rStyle w:val="VerbatimChar"/>
        </w:rPr>
        <w:t xml:space="preserve">knitr::include_graphics("R-outputs_UBC-forWater-MSc_HMc/figures/DOC_seasonal-subbasin_boxplots_2.png")</w:t>
      </w:r>
    </w:p>
    <w:p>
      <w:pPr>
        <w:pStyle w:val="Heading5"/>
      </w:pPr>
      <w:bookmarkStart w:id="82" w:name="rising-stage-dom-dynamics"/>
      <w:r>
        <w:t xml:space="preserve">Rising stage &amp; DOM dynamics</w:t>
      </w:r>
      <w:bookmarkEnd w:id="82"/>
    </w:p>
    <w:p>
      <w:pPr>
        <w:pStyle w:val="FirstParagraph"/>
      </w:pPr>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16</w:t>
      </w:r>
      <w:r>
        <w:t xml:space="preserve">.</w:t>
      </w:r>
    </w:p>
    <w:p>
      <w:pPr>
        <w:pStyle w:val="BodyText"/>
      </w:pPr>
      <w:r>
        <w:t xml:space="preserve"> </w:t>
      </w:r>
    </w:p>
    <w:p>
      <w:pPr>
        <w:pStyle w:val="CaptionedFigure"/>
      </w:pPr>
      <w:r>
        <w:drawing>
          <wp:inline>
            <wp:extent cx="4587290" cy="3211103"/>
            <wp:effectExtent b="0" l="0" r="0" t="0"/>
            <wp:docPr descr="Figure 16: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83"/>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BodyText"/>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 While not every river response pulse was full sampled across, the vertical racks collected samples at progressively higher stage in each site. Figure</w:t>
      </w:r>
      <w:r>
        <w:t xml:space="preserve"> </w:t>
      </w:r>
      <w:r>
        <w:t xml:space="preserve">17</w:t>
      </w:r>
      <w:r>
        <w:t xml:space="preserve"> </w:t>
      </w:r>
      <w:r>
        <w:t xml:space="preserve">shows DOC concentrations in rising limb sample across rain events. Generally, DOC increased with increasing river stage; however, the trend was not linear in each event response.</w:t>
      </w:r>
    </w:p>
    <w:p>
      <w:r>
        <w:pict>
          <v:rect style="width:0;height:1.5pt" o:hralign="center" o:hrstd="t" o:hr="t"/>
        </w:pict>
      </w:r>
    </w:p>
    <w:p>
      <w:pPr>
        <w:pStyle w:val="FirstParagraph"/>
      </w:pPr>
      <w:r>
        <w:t xml:space="preserve">To get a better idea of stream surge DOM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3"/>
          <w:ilvl w:val="0"/>
        </w:numPr>
      </w:pPr>
      <w:r>
        <w:t xml:space="preserve">earlier 2019</w:t>
      </w:r>
      <w:r>
        <w:t xml:space="preserve"> </w:t>
      </w:r>
      <w:r>
        <w:t xml:space="preserve">rain events 10 &amp; 11 (maybe)</w:t>
      </w:r>
      <w:r>
        <w:t xml:space="preserve"> </w:t>
      </w:r>
      <w:r>
        <w:t xml:space="preserve">****************</w:t>
      </w:r>
      <w:r>
        <w:t xml:space="preserve"> </w:t>
      </w:r>
      <w:r>
        <w:t xml:space="preserve"> </w:t>
      </w:r>
    </w:p>
    <w:p>
      <w:pPr>
        <w:pStyle w:val="CaptionedFigure"/>
      </w:pPr>
      <w:r>
        <w:drawing>
          <wp:inline>
            <wp:extent cx="4587290" cy="6422207"/>
            <wp:effectExtent b="0" l="0" r="0" t="0"/>
            <wp:docPr descr="Figure 17: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84"/>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DOC concentration trends in rising limb samples categorized by rain events</w:t>
      </w:r>
    </w:p>
    <w:p>
      <w:pPr>
        <w:pStyle w:val="BodyText"/>
      </w:pPr>
      <w:r>
        <w:t xml:space="preserve"> </w:t>
      </w:r>
    </w:p>
    <w:p>
      <w:pPr>
        <w:pStyle w:val="Heading4"/>
      </w:pPr>
      <w:bookmarkStart w:id="85" w:name="Xc2630683f9dc53106c8f6f2575ed377c9a57537"/>
      <w:r>
        <w:t xml:space="preserve">Spatiotemporal synchrony in local extrema: river stage and DOC</w:t>
      </w:r>
      <w:bookmarkEnd w:id="85"/>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13</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13:</w:t>
      </w:r>
      <w:r>
        <w:t xml:space="preserve"> </w:t>
      </w:r>
      <w:r>
        <w:rPr>
          <w:i/>
        </w:rPr>
        <w:t xml:space="preserve">Proportion of samples for which peak DOC was found in the highest sample stage.</w:t>
      </w:r>
    </w:p>
    <w:tbl>
      <w:tblPr>
        <w:tblStyle w:val="Table"/>
        <w:tblW w:type="pct" w:w="0.0"/>
        <w:tblLook w:firstRow="1"/>
        <w:tblCaption w:val="Table 13: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18</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1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86"/>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Compact"/>
        <w:numPr>
          <w:numId w:val="1004"/>
          <w:ilvl w:val="0"/>
        </w:numPr>
      </w:pPr>
      <w:r>
        <w:rPr>
          <w:i/>
        </w:rPr>
        <w:t xml:space="preserve">needs work:</w:t>
      </w:r>
    </w:p>
    <w:p>
      <w:pPr>
        <w:pStyle w:val="Compact"/>
        <w:numPr>
          <w:numId w:val="1004"/>
          <w:ilvl w:val="0"/>
        </w:numPr>
      </w:pPr>
      <w:r>
        <w:t xml:space="preserve">DOC changes in stormflow</w:t>
      </w:r>
    </w:p>
    <w:p>
      <w:pPr>
        <w:pStyle w:val="Compact"/>
        <w:numPr>
          <w:numId w:val="1004"/>
          <w:ilvl w:val="0"/>
        </w:numPr>
      </w:pPr>
      <w:r>
        <w:t xml:space="preserve">range of DOC in each event:</w:t>
      </w:r>
      <w:r>
        <w:t xml:space="preserve"> </w:t>
      </w:r>
      <w:r>
        <w:t xml:space="preserve">14</w:t>
      </w:r>
    </w:p>
    <w:p>
      <w:pPr>
        <w:pStyle w:val="FirstParagraph"/>
      </w:pPr>
      <w:r>
        <w:t xml:space="preserve"> </w:t>
      </w:r>
    </w:p>
    <w:p>
      <w:pPr>
        <w:pStyle w:val="TableCaption"/>
      </w:pPr>
      <w:r>
        <w:t xml:space="preserve">Table 14:</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4: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To better understand how timing of peak DOC varied among sites during the wet season, a subset of samples was selected for closer analysis (highlighted in Figure</w:t>
      </w:r>
      <w:r>
        <w:t xml:space="preserve"> </w:t>
      </w:r>
      <w:r>
        <w:t xml:space="preserve">18</w:t>
      </w:r>
      <w:r>
        <w:t xml:space="preserve"> </w:t>
      </w:r>
      <w:r>
        <w:t xml:space="preserve">and expanded in Figure</w:t>
      </w:r>
      <w:r>
        <w:t xml:space="preserve"> </w:t>
      </w:r>
      <w:r>
        <w:t xml:space="preserve">19</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15</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15:</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5: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5"/>
          <w:ilvl w:val="0"/>
        </w:numPr>
      </w:pPr>
      <w:r>
        <w:t xml:space="preserve">Rates of stream response (times to peak):</w:t>
      </w:r>
      <w:r>
        <w:t xml:space="preserve"> </w:t>
      </w:r>
      <w:r>
        <w:t xml:space="preserve">16</w:t>
      </w:r>
    </w:p>
    <w:p>
      <w:pPr>
        <w:pStyle w:val="FirstParagraph"/>
      </w:pPr>
      <w:r>
        <w:t xml:space="preserve"> </w:t>
      </w:r>
    </w:p>
    <w:p>
      <w:pPr>
        <w:pStyle w:val="TableCaption"/>
      </w:pPr>
      <w:r>
        <w:t xml:space="preserve">Table 16:</w:t>
      </w:r>
      <w:r>
        <w:t xml:space="preserve"> </w:t>
      </w:r>
      <w:r>
        <w:rPr>
          <w:i/>
        </w:rPr>
        <w:t xml:space="preserve">Summary of stream response to precipitation events 10-12 across the LWSA.</w:t>
      </w:r>
    </w:p>
    <w:tbl>
      <w:tblPr>
        <w:tblStyle w:val="Table"/>
        <w:tblW w:type="pct" w:w="5000.0"/>
        <w:tblLook w:firstRow="1"/>
        <w:tblCaption w:val="Table 16: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6"/>
          <w:ilvl w:val="0"/>
        </w:numPr>
      </w:pPr>
      <w:r>
        <w:t xml:space="preserve">DOC changes in stormflow</w:t>
      </w:r>
    </w:p>
    <w:p>
      <w:pPr>
        <w:pStyle w:val="Compact"/>
        <w:numPr>
          <w:numId w:val="1006"/>
          <w:ilvl w:val="0"/>
        </w:numPr>
      </w:pPr>
      <w:r>
        <w:t xml:space="preserve">range of DOC in each event:</w:t>
      </w:r>
      <w:r>
        <w:t xml:space="preserve"> </w:t>
      </w:r>
      <w:r>
        <w:t xml:space="preserve">17</w:t>
      </w:r>
    </w:p>
    <w:p>
      <w:pPr>
        <w:pStyle w:val="FirstParagraph"/>
      </w:pPr>
      <w:r>
        <w:t xml:space="preserve"> </w:t>
      </w:r>
    </w:p>
    <w:p>
      <w:pPr>
        <w:pStyle w:val="TableCaption"/>
      </w:pPr>
      <w:r>
        <w:t xml:space="preserve">Table 17:</w:t>
      </w:r>
      <w:r>
        <w:t xml:space="preserve"> </w:t>
      </w:r>
      <w:r>
        <w:rPr>
          <w:i/>
        </w:rPr>
        <w:t xml:space="preserve">Summary of DOC changes within stormflow response to precipitation events 10-12 across the LWSA.</w:t>
      </w:r>
    </w:p>
    <w:tbl>
      <w:tblPr>
        <w:tblStyle w:val="Table"/>
        <w:tblW w:type="pct" w:w="5000.0"/>
        <w:tblLook w:firstRow="1"/>
        <w:tblCaption w:val="Table 17: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19: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8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Compact"/>
        <w:numPr>
          <w:numId w:val="1007"/>
          <w:ilvl w:val="0"/>
        </w:numPr>
      </w:pPr>
      <w:r>
        <w:t xml:space="preserve">density plots of stage with DOC, UV</w:t>
      </w:r>
      <w:r>
        <w:rPr>
          <w:vertAlign w:val="subscript"/>
        </w:rPr>
        <w:t xml:space="preserve">254</w:t>
      </w:r>
      <w:r>
        <w:t xml:space="preserve"> </w:t>
      </w:r>
      <w:r>
        <w:t xml:space="preserve">and SUVA~254 for each site:</w:t>
      </w:r>
      <w:r>
        <w:t xml:space="preserve"> </w:t>
      </w:r>
      <w:r>
        <w:t xml:space="preserve">20</w:t>
      </w:r>
    </w:p>
    <w:p>
      <w:pPr>
        <w:pStyle w:val="CaptionedFigure"/>
      </w:pPr>
      <w:r>
        <w:drawing>
          <wp:inline>
            <wp:extent cx="5504749" cy="6422207"/>
            <wp:effectExtent b="0" l="0" r="0" t="0"/>
            <wp:docPr descr="Figure 20:  Two dimensional density distributions of normalized stage in relation to DOC concentration and DOM molecular character parameters."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88"/>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Two dimensional density distributions of normalized stage in relation to DOC concentration and DOM molecular character parameters.</w:t>
      </w:r>
    </w:p>
    <w:p>
      <w:pPr>
        <w:pStyle w:val="Heading2"/>
      </w:pPr>
      <w:bookmarkStart w:id="89" w:name="discussion"/>
      <w:r>
        <w:t xml:space="preserve">Discussion</w:t>
      </w:r>
      <w:bookmarkEnd w:id="89"/>
    </w:p>
    <w:p>
      <w:pPr>
        <w:pStyle w:val="Compact"/>
        <w:numPr>
          <w:numId w:val="1008"/>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(Table</w:t>
      </w:r>
      <w:r>
        <w:t xml:space="preserve"> </w:t>
      </w:r>
      <w:r>
        <w:t xml:space="preserve">??</w:t>
      </w:r>
      <w:r>
        <w:t xml:space="preserve">, Section</w:t>
      </w:r>
      <w:r>
        <w:t xml:space="preserve"> </w:t>
      </w:r>
      <w:r>
        <w:t xml:space="preserve">??</w:t>
      </w:r>
      <w:r>
        <w:t xml:space="preserve">),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09"/>
          <w:ilvl w:val="0"/>
        </w:numPr>
      </w:pPr>
      <w:r>
        <w:t xml:space="preserve">Across the LWSA, was the variance in DOC greater within each site or among all sites?</w:t>
      </w:r>
    </w:p>
    <w:p>
      <w:pPr>
        <w:numPr>
          <w:numId w:val="1009"/>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2"/>
      </w:pPr>
      <w:bookmarkStart w:id="90" w:name="conclusions"/>
      <w:r>
        <w:t xml:space="preserve">Conclusions</w:t>
      </w:r>
      <w:bookmarkEnd w:id="90"/>
    </w:p>
    <w:p>
      <w:pPr>
        <w:pStyle w:val="Heading1"/>
      </w:pPr>
      <w:bookmarkStart w:id="91" w:name="references"/>
      <w:r>
        <w:t xml:space="preserve">References</w:t>
      </w:r>
      <w:bookmarkEnd w:id="91"/>
    </w:p>
    <w:p>
      <w:pPr>
        <w:pStyle w:val="Heading7"/>
      </w:pPr>
      <w:bookmarkStart w:id="92" w:name="appendix"/>
      <w:r>
        <w:t xml:space="preserve">Appendix</w:t>
      </w:r>
      <w:bookmarkEnd w:id="92"/>
    </w:p>
    <w:p>
      <w:pPr>
        <w:pStyle w:val="Heading8"/>
      </w:pPr>
      <w:bookmarkStart w:id="93" w:name="the-forwater-network"/>
      <w:r>
        <w:t xml:space="preserve">The forWater Network</w:t>
      </w:r>
      <w:bookmarkEnd w:id="93"/>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94" w:name="X264f14d3eae9d18c35d78736d0a098750021930"/>
      <w:r>
        <w:t xml:space="preserve">Greater Victoria Regional Water Supply System</w:t>
      </w:r>
      <w:bookmarkEnd w:id="94"/>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7"/>
      </w:pPr>
      <w:bookmarkStart w:id="95" w:name="leech-river-watershed-site-details"/>
      <w:r>
        <w:t xml:space="preserve">Leech River Watershed Site Details</w:t>
      </w:r>
      <w:bookmarkEnd w:id="95"/>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7"/>
      </w:pPr>
      <w:bookmarkStart w:id="96" w:name="temperature-at-vertical-racks"/>
      <w:r>
        <w:t xml:space="preserve">Temperature at vertical racks</w:t>
      </w:r>
      <w:bookmarkEnd w:id="96"/>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w:t>
      </w:r>
      <w:r>
        <w:t xml:space="preserve">).</w:t>
      </w:r>
    </w:p>
    <w:p>
      <w:pPr>
        <w:pStyle w:val="SourceCode"/>
      </w:pPr>
      <w:r>
        <w:rPr>
          <w:rStyle w:val="VerbatimChar"/>
        </w:rPr>
        <w:t xml:space="preserve">{r TidbiTairwaterLine, out.width = "100%", fig.pos="h", fig.cap = fig_cap}</w:t>
      </w:r>
      <w:r>
        <w:br/>
      </w:r>
      <w:r>
        <w:rPr>
          <w:rStyle w:val="VerbatimChar"/>
        </w:rPr>
        <w:t xml:space="preserve">fig_cap = "\\label{fig:TidbiTairwaterLine}*Temperatures recorded in air and water on vertical racks at each research site.*"</w:t>
      </w:r>
      <w:r>
        <w:br/>
      </w:r>
      <w:r>
        <w:rPr>
          <w:rStyle w:val="VerbatimChar"/>
        </w:rPr>
        <w:t xml:space="preserve">knitr::include_graphics("R-outputs_UBC-forWater-MSc_HMc/figures/TidbiTs_line-by-time_daily.png")</w:t>
      </w:r>
    </w:p>
    <w:p>
      <w:pPr>
        <w:pStyle w:val="FirstParagraph"/>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SourceCode"/>
      </w:pPr>
      <w:r>
        <w:rPr>
          <w:rStyle w:val="VerbatimChar"/>
        </w:rPr>
        <w:t xml:space="preserve">{r TidbiTairwaterBox, out.width = "100%", fig.pos="h", fig.cap = fig_cap}</w:t>
      </w:r>
      <w:r>
        <w:br/>
      </w:r>
      <w:r>
        <w:rPr>
          <w:rStyle w:val="VerbatimChar"/>
        </w:rPr>
        <w:t xml:space="preserve">fig_cap = "\\label{fig:TidbiTairwaterBox}*Temperatures recorded in air and water on vertical racks at each research site.*"</w:t>
      </w:r>
      <w:r>
        <w:br/>
      </w:r>
      <w:r>
        <w:br/>
      </w:r>
      <w:r>
        <w:rPr>
          <w:rStyle w:val="VerbatimChar"/>
        </w:rPr>
        <w:t xml:space="preserve">knitr::include_graphics("R-outputs_UBC-forWater-MSc_HMc/figures/TidbiTs_box-by-location_daily.png")</w:t>
      </w:r>
    </w:p>
    <w:p>
      <w:pPr>
        <w:pStyle w:val="FirstParagraph"/>
      </w:pPr>
      <w:r>
        <w:t xml:space="preserve"> </w:t>
      </w:r>
    </w:p>
    <w:p>
      <w:pPr>
        <w:pStyle w:val="Heading8"/>
      </w:pPr>
      <w:bookmarkStart w:id="97" w:name="X09b6fc3bff19a45feb676b5ff026b491854b209"/>
      <w:r>
        <w:t xml:space="preserve">Air temperature comparison &amp; linear regression</w:t>
      </w:r>
      <w:bookmarkEnd w:id="97"/>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21</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21: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18</w:t>
      </w:r>
      <w:r>
        <w:t xml:space="preserve">) with no statistical difference (at 90% confidence) for Cragg Crk, West Leech and the Tunnel (sites 4, 5, 6).</w:t>
      </w:r>
    </w:p>
    <w:p>
      <w:pPr>
        <w:pStyle w:val="BodyText"/>
      </w:pPr>
      <w:r>
        <w:t xml:space="preserve"> </w:t>
      </w:r>
    </w:p>
    <w:p>
      <w:pPr>
        <w:pStyle w:val="TableCaption"/>
      </w:pPr>
      <w:r>
        <w:t xml:space="preserve">Table 18:</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18: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22</w:t>
      </w:r>
      <w:r>
        <w:t xml:space="preserve">). Table</w:t>
      </w:r>
      <w:r>
        <w:t xml:space="preserve"> </w:t>
      </w:r>
      <w:r>
        <w:t xml:space="preserve">19</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19:</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19: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22: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9"/>
      </w:pPr>
      <w:bookmarkStart w:id="100" w:name="malahat-5-year-weather"/>
      <w:r>
        <w:t xml:space="preserve">Malahat 5 year weather</w:t>
      </w:r>
      <w:bookmarkEnd w:id="100"/>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23</w:t>
      </w:r>
      <w:r>
        <w:t xml:space="preserve"> </w:t>
      </w:r>
      <w:r>
        <w:t xml:space="preserve">shows Malahat weather data, which are summarized in Table</w:t>
      </w:r>
      <w:r>
        <w:t xml:space="preserve"> </w:t>
      </w:r>
      <w:r>
        <w:t xml:space="preserve">20</w:t>
      </w:r>
      <w:r>
        <w:t xml:space="preserve">.</w:t>
      </w:r>
    </w:p>
    <w:p>
      <w:pPr>
        <w:pStyle w:val="CaptionedFigure"/>
      </w:pPr>
      <w:r>
        <w:drawing>
          <wp:inline>
            <wp:extent cx="5923721" cy="7767812"/>
            <wp:effectExtent b="0" l="0" r="0" t="0"/>
            <wp:docPr descr="Figure 2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01"/>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20:</w:t>
      </w:r>
      <w:r>
        <w:t xml:space="preserve"> </w:t>
      </w:r>
      <w:r>
        <w:rPr>
          <w:i/>
        </w:rPr>
        <w:t xml:space="preserve">Annual weather data from Malahat station (MoTI ID 62091)</w:t>
      </w:r>
    </w:p>
    <w:tbl>
      <w:tblPr>
        <w:tblStyle w:val="Table"/>
        <w:tblW w:type="pct" w:w="0.0"/>
        <w:tblLook w:firstRow="1"/>
        <w:tblCaption w:val="Table 20: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24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23721" cy="7767812"/>
            <wp:effectExtent b="0" l="0" r="0" t="0"/>
            <wp:docPr descr="Figure 2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02"/>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21:</w:t>
      </w:r>
      <w:r>
        <w:t xml:space="preserve"> </w:t>
      </w:r>
      <w:r>
        <w:rPr>
          <w:i/>
        </w:rPr>
        <w:t xml:space="preserve">Results of Wilcoxon test for Malahat weather data before and during the study period</w:t>
      </w:r>
    </w:p>
    <w:tbl>
      <w:tblPr>
        <w:tblStyle w:val="Table"/>
        <w:tblW w:type="pct" w:w="0.0"/>
        <w:tblLook w:firstRow="1"/>
        <w:tblCaption w:val="Table 21: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pPr>
              <w:pStyle w:val="Compact"/>
              <w:jc w:val="left"/>
            </w:pPr>
            <w:r>
              <w:t xml:space="preserve">NA</w:t>
            </w:r>
          </w:p>
        </w:tc>
      </w:tr>
      <w:tr>
        <w:tc>
          <w:p>
            <w:pPr>
              <w:pStyle w:val="Compact"/>
              <w:jc w:val="left"/>
            </w:pPr>
            <w:r>
              <w:t xml:space="preserve">temp_min</w:t>
            </w:r>
          </w:p>
        </w:tc>
        <w:tc>
          <w:p>
            <w:pPr>
              <w:pStyle w:val="Compact"/>
              <w:jc w:val="right"/>
            </w:pPr>
            <w:r>
              <w:t xml:space="preserve">3.826166e-01</w:t>
            </w:r>
          </w:p>
        </w:tc>
        <w:tc>
          <w:p>
            <w:pPr>
              <w:pStyle w:val="Compact"/>
              <w:jc w:val="left"/>
            </w:pPr>
            <w:r>
              <w:t xml:space="preserve">NA</w:t>
            </w:r>
          </w:p>
        </w:tc>
      </w:tr>
      <w:tr>
        <w:tc>
          <w:p>
            <w:pPr>
              <w:pStyle w:val="Compact"/>
              <w:jc w:val="left"/>
            </w:pPr>
            <w:r>
              <w:t xml:space="preserve">temp_max</w:t>
            </w:r>
          </w:p>
        </w:tc>
        <w:tc>
          <w:p>
            <w:pPr>
              <w:pStyle w:val="Compact"/>
              <w:jc w:val="right"/>
            </w:pPr>
            <w:r>
              <w:t xml:space="preserve">4.694509e-01</w:t>
            </w:r>
          </w:p>
        </w:tc>
        <w:tc>
          <w:p>
            <w:pPr>
              <w:pStyle w:val="Compact"/>
              <w:jc w:val="left"/>
            </w:pPr>
            <w:r>
              <w:t xml:space="preserve">NA</w:t>
            </w:r>
          </w:p>
        </w:tc>
      </w:tr>
    </w:tbl>
    <w:p>
      <w:pPr>
        <w:pStyle w:val="BodyText"/>
      </w:pPr>
      <w:r>
        <w:t xml:space="preserve"> </w:t>
      </w:r>
    </w:p>
    <w:p>
      <w:pPr>
        <w:pStyle w:val="SourceCode"/>
      </w:pPr>
      <w:r>
        <w:rPr>
          <w:rStyle w:val="VerbatimChar"/>
        </w:rPr>
        <w:t xml:space="preserve"># I think all of this could be deleted oir moved)</w:t>
      </w:r>
      <w:r>
        <w:br/>
      </w:r>
      <w:r>
        <w:rPr>
          <w:rStyle w:val="VerbatimChar"/>
        </w:rPr>
        <w:t xml:space="preserve">#########   Installation / monitoring sites</w:t>
      </w:r>
      <w:r>
        <w:br/>
      </w:r>
      <w:r>
        <w:br/>
      </w:r>
      <w:r>
        <w:rPr>
          <w:rStyle w:val="VerbatimChar"/>
        </w:rPr>
        <w:t xml:space="preserve">Six sites were selected across the Leech Water Supply Area. The six research sites represent five nested catchments and the entire water supply area basin defined from the point of (future) diversion, the Leech Tunnel. </w:t>
      </w:r>
      <w:r>
        <w:br/>
      </w:r>
      <w:r>
        <w:br/>
      </w:r>
      <w:r>
        <w:rPr>
          <w:rStyle w:val="VerbatimChar"/>
        </w:rPr>
        <w:t xml:space="preserve">___Weeks Outlet___</w:t>
      </w:r>
      <w:r>
        <w:br/>
      </w:r>
      <w:r>
        <w:br/>
      </w:r>
      <w:r>
        <w:rPr>
          <w:rStyle w:val="VerbatimChar"/>
        </w:rPr>
        <w:t xml:space="preserve">The Weeks Outlet research site monitors water draining approximately 16 km^2^ of the northwest Leech River watershed, including a wetland (Jordan Meadows fen) and Weeks Lake (approximately 27 ha) [@Ussery2015]. Jordan Meadows wetland drains to the east and joins the outflow of Weeks Lake (south end of the lake). The wetland and lake outflow streams join and flow east to Research Site #1, "Weeks Outlet",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 </w:t>
      </w:r>
      <w:r>
        <w:br/>
      </w:r>
      <w:r>
        <w:rPr>
          <w:rStyle w:val="VerbatimChar"/>
        </w:rPr>
        <w:t xml:space="preserve">    </w:t>
      </w:r>
      <w:r>
        <w:br/>
      </w:r>
      <w:r>
        <w:rPr>
          <w:rStyle w:val="VerbatimChar"/>
        </w:rP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 </w:t>
      </w:r>
      <w:r>
        <w:br/>
      </w:r>
      <w:r>
        <w:br/>
      </w:r>
      <w:r>
        <w:rPr>
          <w:rStyle w:val="VerbatimChar"/>
        </w:rPr>
        <w:t xml:space="preserve">\ </w:t>
      </w:r>
      <w:r>
        <w:br/>
      </w:r>
      <w:r>
        <w:br/>
      </w:r>
      <w:r>
        <w:rPr>
          <w:rStyle w:val="VerbatimChar"/>
        </w:rPr>
        <w:t xml:space="preserve">___Chris Creek___</w:t>
      </w:r>
      <w:r>
        <w:br/>
      </w:r>
      <w:r>
        <w:br/>
      </w:r>
      <w:r>
        <w:rPr>
          <w:rStyle w:val="VerbatimChar"/>
        </w:rPr>
        <w:t xml:space="preserve">Chris Creek is the western headwaters of Leech River. This research site is approximately 0.2 km east (upstream) of the confluence with the Weeks Outlet stream. The study site on Chris Creek monitors waters draining from approximately 9.6 km^2^ of forested land, including Worley Lake (approximately 3.5 ha) [@Ussery2015].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   </w:t>
      </w:r>
      <w:r>
        <w:br/>
      </w:r>
      <w:r>
        <w:br/>
      </w:r>
      <w:r>
        <w:rPr>
          <w:rStyle w:val="VerbatimChar"/>
        </w:rPr>
        <w:t xml:space="preserve">\  </w:t>
      </w:r>
      <w:r>
        <w:br/>
      </w:r>
      <w:r>
        <w:br/>
      </w:r>
      <w:r>
        <w:rPr>
          <w:rStyle w:val="VerbatimChar"/>
        </w:rPr>
        <w:t xml:space="preserve">___Leech Head___</w:t>
      </w:r>
      <w:r>
        <w:br/>
      </w:r>
      <w:r>
        <w:br/>
      </w:r>
      <w:r>
        <w:rPr>
          <w:rStyle w:val="VerbatimChar"/>
        </w:rPr>
        <w:t xml:space="preserve">Research site 3 was approxiamtely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 </w:t>
      </w:r>
      <w:r>
        <w:br/>
      </w:r>
      <w:r>
        <w:br/>
      </w:r>
      <w:r>
        <w:rPr>
          <w:rStyle w:val="VerbatimChar"/>
        </w:rPr>
        <w:t xml:space="preserve">\  </w:t>
      </w:r>
      <w:r>
        <w:br/>
      </w:r>
      <w:r>
        <w:br/>
      </w:r>
      <w:r>
        <w:rPr>
          <w:rStyle w:val="VerbatimChar"/>
        </w:rPr>
        <w:t xml:space="preserve">___Cragg Creek___</w:t>
      </w:r>
      <w:r>
        <w:br/>
      </w:r>
      <w:r>
        <w:br/>
      </w:r>
      <w:r>
        <w:rPr>
          <w:rStyle w:val="VerbatimChar"/>
        </w:rPr>
        <w:t xml:space="preserve">Cragg Creek is a mainstem river that originates in the northeast of the Leech River watershed. Cragg Creek is a 4th order stream and this research site location has a drainage area of approximately 37 km^2^,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   </w:t>
      </w:r>
      <w:r>
        <w:br/>
      </w:r>
      <w:r>
        <w:br/>
      </w:r>
      <w:r>
        <w:rPr>
          <w:rStyle w:val="VerbatimChar"/>
        </w:rPr>
        <w:t xml:space="preserve">\  </w:t>
      </w:r>
      <w:r>
        <w:br/>
      </w:r>
      <w:r>
        <w:br/>
      </w:r>
      <w:r>
        <w:rPr>
          <w:rStyle w:val="VerbatimChar"/>
        </w:rPr>
        <w:t xml:space="preserve">___West Leech___</w:t>
      </w:r>
      <w:r>
        <w:br/>
      </w:r>
      <w:r>
        <w:br/>
      </w:r>
      <w:r>
        <w:rPr>
          <w:rStyle w:val="VerbatimChar"/>
        </w:rPr>
        <w:t xml:space="preserve">Originating in the west of the Leech River watershed, West Leech River is a 4th order mainstem river. The West Leech research site monitors a drainage area of approximately 35 km^2^ 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r>
        <w:br/>
      </w:r>
      <w:r>
        <w:br/>
      </w:r>
      <w:r>
        <w:rPr>
          <w:rStyle w:val="VerbatimChar"/>
        </w:rPr>
        <w:t xml:space="preserve">\  </w:t>
      </w:r>
      <w:r>
        <w:br/>
      </w:r>
      <w:r>
        <w:br/>
      </w:r>
      <w:r>
        <w:rPr>
          <w:rStyle w:val="VerbatimChar"/>
        </w:rPr>
        <w:t xml:space="preserve">___Leech Tunnel___</w:t>
      </w:r>
      <w:r>
        <w:br/>
      </w:r>
      <w:r>
        <w:br/>
      </w:r>
      <w:r>
        <w:rPr>
          <w:rStyle w:val="VerbatimChar"/>
        </w:rPr>
        <w:t xml:space="preserve">This research site is at the point of future diversion, the Leech Tunnel. The Leech River is 5th order, and this research site has a drainage area of approximately 99 km^2^. The stream bed here is dominated by Schist bedrock and boulders. The bedrock in the center of the channel is deeply incised, but overall the river is wider than is is deep. The Tunnel site is approximately 1km downstream of the West Leech confluence. </w:t>
      </w:r>
      <w:r>
        <w:br/>
      </w:r>
      <w:r>
        <w:br/>
      </w:r>
      <w:r>
        <w:br/>
      </w:r>
      <w:r>
        <w:rPr>
          <w:rStyle w:val="VerbatimChar"/>
        </w:rPr>
        <w:t xml:space="preserve">#######    Extended Methods</w:t>
      </w:r>
      <w:r>
        <w:br/>
      </w:r>
      <w:r>
        <w:br/>
      </w:r>
      <w:r>
        <w:rPr>
          <w:rStyle w:val="VerbatimChar"/>
        </w:rP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  </w:t>
      </w:r>
      <w:r>
        <w:br/>
      </w:r>
      <w:r>
        <w:br/>
      </w:r>
      <w:r>
        <w:rPr>
          <w:rStyle w:val="VerbatimChar"/>
        </w:rPr>
        <w:t xml:space="preserve">Siphon sampler background -- separate from vertical rack? Mark's suggestion</w:t>
      </w:r>
      <w:r>
        <w:br/>
      </w:r>
      <w:r>
        <w:br/>
      </w:r>
      <w:r>
        <w:rPr>
          <w:rStyle w:val="VerbatimChar"/>
        </w:rPr>
        <w:t xml:space="preserve">___Vertical racks___</w:t>
      </w:r>
      <w:r>
        <w:br/>
      </w:r>
      <w:r>
        <w:br/>
      </w:r>
      <w:r>
        <w:rPr>
          <w:rStyle w:val="VerbatimChar"/>
        </w:rPr>
        <w:t xml:space="preserve">_Passive water sampling on the rising limb of hydrograph_ </w:t>
      </w:r>
      <w:r>
        <w:br/>
      </w:r>
      <w:r>
        <w:br/>
      </w:r>
      <w:r>
        <w:rPr>
          <w:rStyle w:val="VerbatimChar"/>
        </w:rP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r>
        <w:br/>
      </w:r>
      <w:r>
        <w:br/>
      </w:r>
      <w:r>
        <w:rPr>
          <w:rStyle w:val="VerbatimChar"/>
        </w:rP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180$^\circ$ bend at the top end. </w:t>
      </w:r>
      <w:r>
        <w:br/>
      </w:r>
      <w:r>
        <w:br/>
      </w:r>
      <w:r>
        <w:rPr>
          <w:rStyle w:val="VerbatimChar"/>
        </w:rP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 </w:t>
      </w:r>
      <w:r>
        <w:br/>
      </w:r>
      <w:r>
        <w:br/>
      </w:r>
      <w:r>
        <w:rPr>
          <w:rStyle w:val="VerbatimChar"/>
        </w:rP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  </w:t>
      </w:r>
      <w:r>
        <w:br/>
      </w:r>
      <w:r>
        <w:br/>
      </w:r>
      <w:r>
        <w:rPr>
          <w:rStyle w:val="VerbatimChar"/>
        </w:rPr>
        <w:t xml:space="preserve">_Benefits, challenges and assumptions_</w:t>
      </w:r>
      <w:r>
        <w:br/>
      </w:r>
      <w:r>
        <w:br/>
      </w:r>
      <w:r>
        <w:rPr>
          <w:rStyle w:val="VerbatimChar"/>
        </w:rP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w:t>
      </w:r>
      <w:r>
        <w:br/>
      </w:r>
      <w:r>
        <w:br/>
      </w:r>
      <w:r>
        <w:br/>
      </w:r>
      <w:r>
        <w:rPr>
          <w:rStyle w:val="VerbatimChar"/>
        </w:rPr>
        <w:t xml:space="preserve">######## Field protocol</w:t>
      </w:r>
      <w:r>
        <w:br/>
      </w:r>
      <w:r>
        <w:br/>
      </w:r>
      <w:r>
        <w:rPr>
          <w:rStyle w:val="VerbatimChar"/>
        </w:rP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     </w:t>
      </w:r>
      <w:r>
        <w:br/>
      </w:r>
      <w:r>
        <w:br/>
      </w:r>
      <w:r>
        <w:rPr>
          <w:rStyle w:val="VerbatimChar"/>
        </w:rPr>
        <w:t xml:space="preserve">\  </w:t>
      </w:r>
      <w:r>
        <w:br/>
      </w:r>
      <w:r>
        <w:br/>
      </w:r>
      <w:r>
        <w:rPr>
          <w:rStyle w:val="VerbatimChar"/>
        </w:rPr>
        <w:t xml:space="preserve">######## Prototype for falling limb passive sampling</w:t>
      </w:r>
      <w:r>
        <w:br/>
      </w:r>
      <w:r>
        <w:br/>
      </w:r>
      <w:r>
        <w:rPr>
          <w:rStyle w:val="VerbatimChar"/>
        </w:rPr>
        <w:t xml:space="preserve">_Development of a modified siphon sampler designed for passive water collection on the falling limb of hydrograph_</w:t>
      </w:r>
      <w:r>
        <w:br/>
      </w:r>
      <w:r>
        <w:br/>
      </w:r>
      <w:r>
        <w:rPr>
          <w:rStyle w:val="VerbatimChar"/>
        </w:rP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Bite^TM^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pPr>
        <w:pStyle w:val="Heading7"/>
      </w:pPr>
      <w:bookmarkStart w:id="103" w:name="collaborative-sampling"/>
      <w:r>
        <w:t xml:space="preserve">Collaborative sampling</w:t>
      </w:r>
      <w:bookmarkEnd w:id="103"/>
    </w:p>
    <w:p>
      <w:pPr>
        <w:pStyle w:val="Heading9"/>
      </w:pPr>
      <w:bookmarkStart w:id="104" w:name="Xff9c1916dd8d278b07e9d95ebf125bc565f5754"/>
      <w:r>
        <w:t xml:space="preserve">forWater-coordinated treatability analyses sites</w:t>
      </w:r>
      <w:bookmarkEnd w:id="104"/>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0"/>
          <w:ilvl w:val="0"/>
        </w:numPr>
      </w:pPr>
      <w:r>
        <w:t xml:space="preserve">Leech River at the future point of diversion (near Leech Tunnel inlet)</w:t>
      </w:r>
    </w:p>
    <w:p>
      <w:pPr>
        <w:pStyle w:val="Compact"/>
        <w:numPr>
          <w:numId w:val="1010"/>
          <w:ilvl w:val="0"/>
        </w:numPr>
      </w:pPr>
      <w:r>
        <w:t xml:space="preserve">Deception Reservoir, downstream from Deception Gulch (outlet of Leech Tunnel)</w:t>
      </w:r>
    </w:p>
    <w:p>
      <w:pPr>
        <w:pStyle w:val="Compact"/>
        <w:numPr>
          <w:numId w:val="1010"/>
          <w:ilvl w:val="0"/>
        </w:numPr>
      </w:pPr>
      <w:r>
        <w:t xml:space="preserve">Rithet Creek (main tributary to Sooke Reservoir)</w:t>
      </w:r>
    </w:p>
    <w:p>
      <w:pPr>
        <w:pStyle w:val="Compact"/>
        <w:numPr>
          <w:numId w:val="1010"/>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9"/>
      </w:pPr>
      <w:bookmarkStart w:id="105" w:name="sampling-for-metals-on-behalf-of-the-crd"/>
      <w:r>
        <w:t xml:space="preserve">Sampling for Metals on behalf of the CRD</w:t>
      </w:r>
      <w:bookmarkEnd w:id="105"/>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7"/>
      </w:pPr>
      <w:bookmarkStart w:id="106" w:name="results-extended"/>
      <w:r>
        <w:t xml:space="preserve">Results extended</w:t>
      </w:r>
      <w:bookmarkEnd w:id="106"/>
    </w:p>
    <w:p>
      <w:pPr>
        <w:pStyle w:val="Heading9"/>
      </w:pPr>
      <w:bookmarkStart w:id="107" w:name="Xce8fa8365ce60c173c7cf963ead1de6f5cbd7c4"/>
      <w:r>
        <w:t xml:space="preserve">DOC association with other water quality parameters</w:t>
      </w:r>
      <w:bookmarkEnd w:id="107"/>
    </w:p>
    <w:p>
      <w:pPr>
        <w:pStyle w:val="FirstParagraph"/>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25</w:t>
      </w:r>
      <w:r>
        <w:t xml:space="preserve"> </w:t>
      </w:r>
      <w:r>
        <w:t xml:space="preserve">shows DOC with total metals in μg/L, and Figure</w:t>
      </w:r>
      <w:r>
        <w:t xml:space="preserve"> </w:t>
      </w:r>
      <w:r>
        <w:t xml:space="preserve">26</w:t>
      </w:r>
      <w:r>
        <w:t xml:space="preserve"> </w:t>
      </w:r>
      <w:r>
        <w:t xml:space="preserve">shows metals in mg/L).</w:t>
      </w:r>
    </w:p>
    <w:p>
      <w:pPr>
        <w:pStyle w:val="BodyText"/>
      </w:pPr>
      <w:r>
        <w:t xml:space="preserve"> </w:t>
      </w:r>
    </w:p>
    <w:p>
      <w:pPr>
        <w:pStyle w:val="CaptionedFigure"/>
      </w:pPr>
      <w:r>
        <w:drawing>
          <wp:inline>
            <wp:extent cx="5923721" cy="7767812"/>
            <wp:effectExtent b="0" l="0" r="0" t="0"/>
            <wp:docPr descr="Figure 25: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08"/>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23721" cy="7767812"/>
            <wp:effectExtent b="0" l="0" r="0" t="0"/>
            <wp:docPr descr="Figure 26: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09"/>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22</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22:</w:t>
      </w:r>
      <w:r>
        <w:t xml:space="preserve"> </w:t>
      </w:r>
      <w:r>
        <w:rPr>
          <w:i/>
        </w:rPr>
        <w:t xml:space="preserve">Relationships between total metals with dissolved organic carbon</w:t>
      </w:r>
    </w:p>
    <w:tbl>
      <w:tblPr>
        <w:tblStyle w:val="Table"/>
        <w:tblW w:type="pct" w:w="0.0"/>
        <w:tblLook w:firstRow="1"/>
        <w:tblCaption w:val="Table 22: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BodyText"/>
      </w:pPr>
      <w:r>
        <w:rPr>
          <w:i/>
          <w:b/>
        </w:rPr>
        <w:t xml:space="preserve">Nitrate &amp; DOC</w:t>
      </w:r>
    </w:p>
    <w:p>
      <w:pPr>
        <w:pStyle w:val="BodyText"/>
      </w:pPr>
      <w:r>
        <w:t xml:space="preserve">Each sample that was analyzed on the Spectrolyser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w:t>
      </w:r>
      <w:r>
        <w:t xml:space="preserve"> </w:t>
      </w:r>
      <w:r>
        <w:t xml:space="preserve">27</w:t>
      </w:r>
      <w:r>
        <w:t xml:space="preserve">). Nitrate can be a spectroscopic interferant for DOM estimates, and it’s unclear how the spectrolyser destinguishes between the two.</w:t>
      </w:r>
    </w:p>
    <w:p>
      <w:pPr>
        <w:pStyle w:val="BodyText"/>
      </w:pPr>
      <w:r>
        <w:t xml:space="preserve"> </w:t>
      </w:r>
    </w:p>
    <w:p>
      <w:pPr>
        <w:pStyle w:val="CaptionedFigure"/>
      </w:pPr>
      <w:r>
        <w:drawing>
          <wp:inline>
            <wp:extent cx="5504749" cy="3669832"/>
            <wp:effectExtent b="0" l="0" r="0" t="0"/>
            <wp:docPr descr="Figure 27: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11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rPr>
          <w:i/>
          <w:b/>
        </w:rPr>
        <w:t xml:space="preserve">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28</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8: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11"/>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Compact"/>
        <w:numPr>
          <w:numId w:val="1011"/>
          <w:ilvl w:val="0"/>
        </w:numPr>
      </w:pPr>
      <w:r>
        <w:t xml:space="preserve">TO DO: add comparison of treatability metrics at Tunnel versus Sooke Tribs</w:t>
      </w:r>
    </w:p>
    <w:p>
      <w:pPr>
        <w:pStyle w:val="FirstParagraph"/>
      </w:pPr>
      <w:r>
        <w:t xml:space="preserve"> </w:t>
      </w:r>
    </w:p>
    <w:p>
      <w:pPr>
        <w:pStyle w:val="BodyText"/>
      </w:pPr>
      <w:r>
        <w:rPr>
          <w:i/>
          <w:b/>
        </w:rPr>
        <w:t xml:space="preserve">?</w:t>
      </w:r>
    </w:p>
    <w:p>
      <w:pPr>
        <w:pStyle w:val="Compact"/>
        <w:numPr>
          <w:numId w:val="1012"/>
          <w:ilvl w:val="0"/>
        </w:numPr>
      </w:pPr>
      <w:r>
        <w:t xml:space="preserve">Gauging Streamflow (?)</w:t>
      </w:r>
    </w:p>
    <w:p>
      <w:pPr>
        <w:pStyle w:val="Compact"/>
        <w:numPr>
          <w:numId w:val="1012"/>
          <w:ilvl w:val="0"/>
        </w:numPr>
      </w:pPr>
      <w:r>
        <w:t xml:space="preserve">Instrument calibration</w:t>
      </w:r>
    </w:p>
    <w:p>
      <w:pPr>
        <w:pStyle w:val="Compact"/>
        <w:numPr>
          <w:numId w:val="1012"/>
          <w:ilvl w:val="0"/>
        </w:numPr>
      </w:pPr>
      <w:r>
        <w:t xml:space="preserve">Calibration verification (cal vers)</w:t>
      </w:r>
    </w:p>
    <w:bookmarkStart w:id="219" w:name="refs"/>
    <w:bookmarkStart w:id="113"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12">
        <w:r>
          <w:rPr>
            <w:rStyle w:val="Hyperlink"/>
          </w:rPr>
          <w:t xml:space="preserve">https://doi.org/10.1111/ele.12897</w:t>
        </w:r>
      </w:hyperlink>
      <w:r>
        <w:t xml:space="preserve">.</w:t>
      </w:r>
    </w:p>
    <w:bookmarkEnd w:id="113"/>
    <w:bookmarkStart w:id="115"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14">
        <w:r>
          <w:rPr>
            <w:rStyle w:val="Hyperlink"/>
          </w:rPr>
          <w:t xml:space="preserve">https://doi.org/10.1002/j.1551-8833.1995.tb06299.x</w:t>
        </w:r>
      </w:hyperlink>
      <w:r>
        <w:t xml:space="preserve">.</w:t>
      </w:r>
    </w:p>
    <w:bookmarkEnd w:id="115"/>
    <w:bookmarkStart w:id="117"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16">
        <w:r>
          <w:rPr>
            <w:rStyle w:val="Hyperlink"/>
          </w:rPr>
          <w:t xml:space="preserve">https://doi.org/10.1021/es103992s</w:t>
        </w:r>
      </w:hyperlink>
      <w:r>
        <w:t xml:space="preserve">.</w:t>
      </w:r>
    </w:p>
    <w:bookmarkEnd w:id="117"/>
    <w:bookmarkStart w:id="119"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18">
        <w:r>
          <w:rPr>
            <w:rStyle w:val="Hyperlink"/>
          </w:rPr>
          <w:t xml:space="preserve">https://doi.org/10.1016/j.jhydrol.2014.05.060</w:t>
        </w:r>
      </w:hyperlink>
      <w:r>
        <w:t xml:space="preserve">.</w:t>
      </w:r>
    </w:p>
    <w:bookmarkEnd w:id="119"/>
    <w:bookmarkStart w:id="121"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20">
        <w:r>
          <w:rPr>
            <w:rStyle w:val="Hyperlink"/>
          </w:rPr>
          <w:t xml:space="preserve">https://doi.org/10.1029/2007JG000674</w:t>
        </w:r>
      </w:hyperlink>
      <w:r>
        <w:t xml:space="preserve">.</w:t>
      </w:r>
    </w:p>
    <w:bookmarkEnd w:id="121"/>
    <w:bookmarkStart w:id="123"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22">
        <w:r>
          <w:rPr>
            <w:rStyle w:val="Hyperlink"/>
          </w:rPr>
          <w:t xml:space="preserve">http://www.standardmethods.org/</w:t>
        </w:r>
      </w:hyperlink>
      <w:r>
        <w:t xml:space="preserve">.</w:t>
      </w:r>
    </w:p>
    <w:bookmarkEnd w:id="123"/>
    <w:bookmarkStart w:id="125"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24">
        <w:r>
          <w:rPr>
            <w:rStyle w:val="Hyperlink"/>
          </w:rPr>
          <w:t xml:space="preserve">https://doi.org/10.2105/SMWW.2882.113</w:t>
        </w:r>
      </w:hyperlink>
      <w:r>
        <w:t xml:space="preserve">.</w:t>
      </w:r>
    </w:p>
    <w:bookmarkEnd w:id="125"/>
    <w:bookmarkStart w:id="127" w:name="ref-BC2019"/>
    <w:p>
      <w:pPr>
        <w:pStyle w:val="Bibliography"/>
      </w:pPr>
      <w:r>
        <w:t xml:space="preserve">British Columbia Ministry of Environment. 2017. “Source Drinking Water Quality Guidelines: Guideline Summary.” Victoria, B.C.: Prov. B.C.</w:t>
      </w:r>
      <w:r>
        <w:t xml:space="preserve"> </w:t>
      </w:r>
      <w:hyperlink r:id="rId126">
        <w:r>
          <w:rPr>
            <w:rStyle w:val="Hyperlink"/>
          </w:rPr>
          <w:t xml:space="preserve">https://www2.gov.bc.ca/gov/content/governments/organizational-structure/ministries-organizations/ministries/environment-climate-change</w:t>
        </w:r>
      </w:hyperlink>
      <w:r>
        <w:t xml:space="preserve">.</w:t>
      </w:r>
    </w:p>
    <w:bookmarkEnd w:id="127"/>
    <w:bookmarkStart w:id="128" w:name="ref-CCME2004"/>
    <w:p>
      <w:pPr>
        <w:pStyle w:val="Bibliography"/>
      </w:pPr>
      <w:r>
        <w:t xml:space="preserve">Canadian Council of Ministers of the Environment. 2004. “From source to tap : guidance on the multi-barrier approach to safe drinking water.”</w:t>
      </w:r>
    </w:p>
    <w:bookmarkEnd w:id="128"/>
    <w:bookmarkStart w:id="130"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29">
        <w:r>
          <w:rPr>
            <w:rStyle w:val="Hyperlink"/>
          </w:rPr>
          <w:t xml:space="preserve">https://doi.org/10.2166/aqua.2008.064</w:t>
        </w:r>
      </w:hyperlink>
      <w:r>
        <w:t xml:space="preserve">.</w:t>
      </w:r>
    </w:p>
    <w:bookmarkEnd w:id="130"/>
    <w:bookmarkStart w:id="132" w:name="ref-CapitalRegionDistrict2017"/>
    <w:p>
      <w:pPr>
        <w:pStyle w:val="Bibliography"/>
      </w:pPr>
      <w:r>
        <w:t xml:space="preserve">CRD. 2017. “Regional Water Supply 2017 Strategic Plan.” Victoria, B.C.: Capital Region District, Integrated Water Services.</w:t>
      </w:r>
      <w:r>
        <w:t xml:space="preserve"> </w:t>
      </w:r>
      <w:hyperlink r:id="rId131">
        <w:r>
          <w:rPr>
            <w:rStyle w:val="Hyperlink"/>
          </w:rPr>
          <w:t xml:space="preserve">https://www.crd.bc.ca/project/past-capital-projects-and-initiatives/water-supply-plan</w:t>
        </w:r>
      </w:hyperlink>
      <w:r>
        <w:t xml:space="preserve">.</w:t>
      </w:r>
    </w:p>
    <w:bookmarkEnd w:id="132"/>
    <w:bookmarkStart w:id="134"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33">
        <w:r>
          <w:rPr>
            <w:rStyle w:val="Hyperlink"/>
          </w:rPr>
          <w:t xml:space="preserve">https://doi.org/IWSS-297445977-5079</w:t>
        </w:r>
      </w:hyperlink>
      <w:r>
        <w:t xml:space="preserve">.</w:t>
      </w:r>
    </w:p>
    <w:bookmarkEnd w:id="134"/>
    <w:bookmarkStart w:id="135" w:name="ref-CRD2020"/>
    <w:p>
      <w:pPr>
        <w:pStyle w:val="Bibliography"/>
      </w:pPr>
      <w:r>
        <w:t xml:space="preserve">———. 2020. “Unpublished weather station data, Greater Victoria Water Supply Area.” Victoria, B.C.: Capital Regional District, Watershed Protection Division, Integrated Water Services.</w:t>
      </w:r>
    </w:p>
    <w:bookmarkEnd w:id="135"/>
    <w:bookmarkStart w:id="137"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36">
        <w:r>
          <w:rPr>
            <w:rStyle w:val="Hyperlink"/>
          </w:rPr>
          <w:t xml:space="preserve">https://doi.org/10.1139/cjfas-2014-0400</w:t>
        </w:r>
      </w:hyperlink>
      <w:r>
        <w:t xml:space="preserve">.</w:t>
      </w:r>
    </w:p>
    <w:bookmarkEnd w:id="137"/>
    <w:bookmarkStart w:id="139"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38">
        <w:r>
          <w:rPr>
            <w:rStyle w:val="Hyperlink"/>
          </w:rPr>
          <w:t xml:space="preserve">https://doi.org/10.1016/B978-0-12-382092-1.00019-1</w:t>
        </w:r>
      </w:hyperlink>
      <w:r>
        <w:t xml:space="preserve">.</w:t>
      </w:r>
    </w:p>
    <w:bookmarkEnd w:id="139"/>
    <w:bookmarkStart w:id="141"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40">
        <w:r>
          <w:rPr>
            <w:rStyle w:val="Hyperlink"/>
          </w:rPr>
          <w:t xml:space="preserve">https://doi.org/10.1016/j.watres.2016.08.031</w:t>
        </w:r>
      </w:hyperlink>
      <w:r>
        <w:t xml:space="preserve">.</w:t>
      </w:r>
    </w:p>
    <w:bookmarkEnd w:id="141"/>
    <w:bookmarkStart w:id="143" w:name="ref-Diehl2007"/>
    <w:p>
      <w:pPr>
        <w:pStyle w:val="Bibliography"/>
      </w:pPr>
      <w:r>
        <w:t xml:space="preserve">Diehl, Timothy H. 2007. “A Modified Siphon Sampler for Shallow Water.” U.S. Department of the Interior, U.S. Geological Survey.</w:t>
      </w:r>
      <w:r>
        <w:t xml:space="preserve"> </w:t>
      </w:r>
      <w:hyperlink r:id="rId142">
        <w:r>
          <w:rPr>
            <w:rStyle w:val="Hyperlink"/>
          </w:rPr>
          <w:t xml:space="preserve">https://pubs.er.usgs.gov/publication/sir20075282</w:t>
        </w:r>
      </w:hyperlink>
      <w:r>
        <w:t xml:space="preserve">.</w:t>
      </w:r>
    </w:p>
    <w:bookmarkEnd w:id="143"/>
    <w:bookmarkStart w:id="145"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44">
        <w:r>
          <w:rPr>
            <w:rStyle w:val="Hyperlink"/>
          </w:rPr>
          <w:t xml:space="preserve">http://scholar.google.com/scholar?hl=en{\&amp;}btnG=Search{\&amp;}q=intitle:Running+Pure{\#}1</w:t>
        </w:r>
      </w:hyperlink>
      <w:r>
        <w:t xml:space="preserve">.</w:t>
      </w:r>
    </w:p>
    <w:bookmarkEnd w:id="145"/>
    <w:bookmarkStart w:id="147"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46">
        <w:r>
          <w:rPr>
            <w:rStyle w:val="Hyperlink"/>
          </w:rPr>
          <w:t xml:space="preserve">https://doi.org/10.1016/j.watres.2010.08.051</w:t>
        </w:r>
      </w:hyperlink>
      <w:r>
        <w:t xml:space="preserve">.</w:t>
      </w:r>
    </w:p>
    <w:bookmarkEnd w:id="147"/>
    <w:bookmarkStart w:id="148" w:name="ref-Epps1994"/>
    <w:p>
      <w:pPr>
        <w:pStyle w:val="Bibliography"/>
      </w:pPr>
      <w:r>
        <w:t xml:space="preserve">Epps, Deborah Norine. 1994. “Factors Affecting Disinfection By-Products from Surface Source Waters on Vancouver Island.” Master of Science, University of Victoria.</w:t>
      </w:r>
    </w:p>
    <w:bookmarkEnd w:id="148"/>
    <w:bookmarkStart w:id="150"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49">
        <w:r>
          <w:rPr>
            <w:rStyle w:val="Hyperlink"/>
          </w:rPr>
          <w:t xml:space="preserve">https://doi.org/10.4319/lo.2012.57.5.1453</w:t>
        </w:r>
      </w:hyperlink>
      <w:r>
        <w:t xml:space="preserve">.</w:t>
      </w:r>
    </w:p>
    <w:bookmarkEnd w:id="150"/>
    <w:bookmarkStart w:id="152"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51">
        <w:r>
          <w:rPr>
            <w:rStyle w:val="Hyperlink"/>
          </w:rPr>
          <w:t xml:space="preserve">https://doi.org/10.3133/fs06700</w:t>
        </w:r>
      </w:hyperlink>
      <w:r>
        <w:t xml:space="preserve">.</w:t>
      </w:r>
    </w:p>
    <w:bookmarkEnd w:id="152"/>
    <w:bookmarkStart w:id="154"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53">
        <w:r>
          <w:rPr>
            <w:rStyle w:val="Hyperlink"/>
          </w:rPr>
          <w:t xml:space="preserve">https://doi.org/10.13031/2013.15662</w:t>
        </w:r>
      </w:hyperlink>
      <w:r>
        <w:t xml:space="preserve">.</w:t>
      </w:r>
    </w:p>
    <w:bookmarkEnd w:id="154"/>
    <w:bookmarkStart w:id="156" w:name="ref-HealthCanada2019"/>
    <w:p>
      <w:pPr>
        <w:pStyle w:val="Bibliography"/>
      </w:pPr>
      <w:r>
        <w:t xml:space="preserve">Health Canada. 2019a. “Guidance on Natural Organic Matter in Drinking Water.”</w:t>
      </w:r>
      <w:r>
        <w:t xml:space="preserve"> </w:t>
      </w:r>
      <w:hyperlink r:id="rId155">
        <w:r>
          <w:rPr>
            <w:rStyle w:val="Hyperlink"/>
          </w:rPr>
          <w:t xml:space="preserve">https://www.canada.ca/content/dam/hc-sc/documents/programs/consultation-organic-matter-drinking-water/NOM20190129-eng.pdf</w:t>
        </w:r>
      </w:hyperlink>
      <w:r>
        <w:t xml:space="preserve">.</w:t>
      </w:r>
    </w:p>
    <w:bookmarkEnd w:id="156"/>
    <w:bookmarkStart w:id="158"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157">
        <w:r>
          <w:rPr>
            <w:rStyle w:val="Hyperlink"/>
          </w:rPr>
          <w:t xml:space="preserve">https://www.canada.ca/content/dam/hc-sc/migration/hc-sc/ewh-semt/alt{\_}formats/pdf/pubs/water-eau/sum{\_}guide-res{\_}recom/summary-table-August-15-2019-eng.pdf</w:t>
        </w:r>
      </w:hyperlink>
      <w:r>
        <w:t xml:space="preserve">.</w:t>
      </w:r>
    </w:p>
    <w:bookmarkEnd w:id="158"/>
    <w:bookmarkStart w:id="160" w:name="ref-HealthCanada2006"/>
    <w:p>
      <w:pPr>
        <w:pStyle w:val="Bibliography"/>
      </w:pPr>
      <w:r>
        <w:t xml:space="preserve">HealthCanada. 2006. “Drinking Water Chlorination.”</w:t>
      </w:r>
      <w:r>
        <w:t xml:space="preserve"> </w:t>
      </w:r>
      <w:hyperlink r:id="rId159">
        <w:r>
          <w:rPr>
            <w:rStyle w:val="Hyperlink"/>
          </w:rPr>
          <w:t xml:space="preserve">https://www.canada.ca/en/health-canada/services/healthy-living/your-health/environment/drinking-water-chlorination.html</w:t>
        </w:r>
      </w:hyperlink>
      <w:r>
        <w:t xml:space="preserve">.</w:t>
      </w:r>
    </w:p>
    <w:bookmarkEnd w:id="160"/>
    <w:bookmarkStart w:id="162" w:name="ref-HealthLinkBC2018"/>
    <w:p>
      <w:pPr>
        <w:pStyle w:val="Bibliography"/>
      </w:pPr>
      <w:r>
        <w:t xml:space="preserve">HealthLinkBC. 2018. “Drinking Water Chlorination Facts.”</w:t>
      </w:r>
      <w:r>
        <w:t xml:space="preserve"> </w:t>
      </w:r>
      <w:hyperlink r:id="rId161">
        <w:r>
          <w:rPr>
            <w:rStyle w:val="Hyperlink"/>
          </w:rPr>
          <w:t xml:space="preserve">https://www.healthlinkbc.ca/healthlinkbc-files/drinking-water-chlorination</w:t>
        </w:r>
      </w:hyperlink>
      <w:r>
        <w:t xml:space="preserve">.</w:t>
      </w:r>
    </w:p>
    <w:bookmarkEnd w:id="162"/>
    <w:bookmarkStart w:id="164"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163">
        <w:r>
          <w:rPr>
            <w:rStyle w:val="Hyperlink"/>
          </w:rPr>
          <w:t xml:space="preserve">https://www.jstor.org/stable/40058211</w:t>
        </w:r>
      </w:hyperlink>
      <w:r>
        <w:t xml:space="preserve">.</w:t>
      </w:r>
    </w:p>
    <w:bookmarkEnd w:id="164"/>
    <w:bookmarkStart w:id="166"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65">
        <w:r>
          <w:rPr>
            <w:rStyle w:val="Hyperlink"/>
          </w:rPr>
          <w:t xml:space="preserve">https://doi.org/10.1016/j.chemosphere.2015.03.039</w:t>
        </w:r>
      </w:hyperlink>
      <w:r>
        <w:t xml:space="preserve">.</w:t>
      </w:r>
    </w:p>
    <w:bookmarkEnd w:id="166"/>
    <w:bookmarkStart w:id="168"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67">
        <w:r>
          <w:rPr>
            <w:rStyle w:val="Hyperlink"/>
          </w:rPr>
          <w:t xml:space="preserve">https://doi.org/10.1002/j.1551-8833.1995.tb06302.x</w:t>
        </w:r>
      </w:hyperlink>
      <w:r>
        <w:t xml:space="preserve">.</w:t>
      </w:r>
    </w:p>
    <w:bookmarkEnd w:id="168"/>
    <w:bookmarkStart w:id="170"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69">
        <w:r>
          <w:rPr>
            <w:rStyle w:val="Hyperlink"/>
          </w:rPr>
          <w:t xml:space="preserve">https://doi.org/doi:10.1046/j.1365-2427.1997.d01-539.x</w:t>
        </w:r>
      </w:hyperlink>
      <w:r>
        <w:t xml:space="preserve">.</w:t>
      </w:r>
    </w:p>
    <w:bookmarkEnd w:id="170"/>
    <w:bookmarkStart w:id="172"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171">
        <w:r>
          <w:rPr>
            <w:rStyle w:val="Hyperlink"/>
          </w:rPr>
          <w:t xml:space="preserve">https://www.jstor.org/stable/41311011</w:t>
        </w:r>
      </w:hyperlink>
      <w:r>
        <w:t xml:space="preserve">.</w:t>
      </w:r>
    </w:p>
    <w:bookmarkEnd w:id="172"/>
    <w:bookmarkStart w:id="174"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173">
        <w:r>
          <w:rPr>
            <w:rStyle w:val="Hyperlink"/>
          </w:rPr>
          <w:t xml:space="preserve">https://doi.org/10.1002/j.1551-8833.2002.tb10250.x</w:t>
        </w:r>
      </w:hyperlink>
      <w:r>
        <w:t xml:space="preserve">.</w:t>
      </w:r>
    </w:p>
    <w:bookmarkEnd w:id="174"/>
    <w:bookmarkStart w:id="176"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75">
        <w:r>
          <w:rPr>
            <w:rStyle w:val="Hyperlink"/>
          </w:rPr>
          <w:t xml:space="preserve">https://archive.org/details/metaltransportre00lazeuoft/mode/2up</w:t>
        </w:r>
      </w:hyperlink>
      <w:r>
        <w:t xml:space="preserve">.</w:t>
      </w:r>
    </w:p>
    <w:bookmarkEnd w:id="176"/>
    <w:bookmarkStart w:id="178"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77">
        <w:r>
          <w:rPr>
            <w:rStyle w:val="Hyperlink"/>
          </w:rPr>
          <w:t xml:space="preserve">https://doi.org/10.1016/j.jhazmat.2014.02.009</w:t>
        </w:r>
      </w:hyperlink>
      <w:r>
        <w:t xml:space="preserve">.</w:t>
      </w:r>
    </w:p>
    <w:bookmarkEnd w:id="178"/>
    <w:bookmarkStart w:id="180"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179">
        <w:r>
          <w:rPr>
            <w:rStyle w:val="Hyperlink"/>
          </w:rPr>
          <w:t xml:space="preserve">https://doi.org/10.1002/rra.1504</w:t>
        </w:r>
      </w:hyperlink>
      <w:r>
        <w:t xml:space="preserve">.</w:t>
      </w:r>
    </w:p>
    <w:bookmarkEnd w:id="180"/>
    <w:bookmarkStart w:id="182"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81">
        <w:r>
          <w:rPr>
            <w:rStyle w:val="Hyperlink"/>
          </w:rPr>
          <w:t xml:space="preserve">https://doi.org/10.1016/j.chemosphere.2011.01.018</w:t>
        </w:r>
      </w:hyperlink>
      <w:r>
        <w:t xml:space="preserve">.</w:t>
      </w:r>
    </w:p>
    <w:bookmarkEnd w:id="182"/>
    <w:bookmarkStart w:id="184"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83">
        <w:r>
          <w:rPr>
            <w:rStyle w:val="Hyperlink"/>
          </w:rPr>
          <w:t xml:space="preserve">https://doi.org/10.1016/j.cis.2010.06.007</w:t>
        </w:r>
      </w:hyperlink>
      <w:r>
        <w:t xml:space="preserve">.</w:t>
      </w:r>
    </w:p>
    <w:bookmarkEnd w:id="184"/>
    <w:bookmarkStart w:id="186"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85">
        <w:r>
          <w:rPr>
            <w:rStyle w:val="Hyperlink"/>
          </w:rPr>
          <w:t xml:space="preserve">https://www.jstor.org/stable/1937326</w:t>
        </w:r>
      </w:hyperlink>
      <w:r>
        <w:t xml:space="preserve">.</w:t>
      </w:r>
    </w:p>
    <w:bookmarkEnd w:id="186"/>
    <w:bookmarkStart w:id="187"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87"/>
    <w:bookmarkStart w:id="18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88">
        <w:r>
          <w:rPr>
            <w:rStyle w:val="Hyperlink"/>
          </w:rPr>
          <w:t xml:space="preserve">https://doi.org/10.1007/s10533-015-0103-6</w:t>
        </w:r>
      </w:hyperlink>
      <w:r>
        <w:t xml:space="preserve">.</w:t>
      </w:r>
    </w:p>
    <w:bookmarkEnd w:id="189"/>
    <w:bookmarkStart w:id="191"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90">
        <w:r>
          <w:rPr>
            <w:rStyle w:val="Hyperlink"/>
          </w:rPr>
          <w:t xml:space="preserve">https://doi.org/10.5194/bg-10-2315-2013</w:t>
        </w:r>
      </w:hyperlink>
      <w:r>
        <w:t xml:space="preserve">.</w:t>
      </w:r>
    </w:p>
    <w:bookmarkEnd w:id="191"/>
    <w:bookmarkStart w:id="193"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192">
        <w:r>
          <w:rPr>
            <w:rStyle w:val="Hyperlink"/>
          </w:rPr>
          <w:t xml:space="preserve">http://www.jstor.com/stable/41295152</w:t>
        </w:r>
      </w:hyperlink>
      <w:r>
        <w:t xml:space="preserve">.</w:t>
      </w:r>
    </w:p>
    <w:bookmarkEnd w:id="193"/>
    <w:bookmarkStart w:id="195"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94">
        <w:r>
          <w:rPr>
            <w:rStyle w:val="Hyperlink"/>
          </w:rPr>
          <w:t xml:space="preserve">https://doi.org/10.1007/s11270-013-1651-9</w:t>
        </w:r>
      </w:hyperlink>
      <w:r>
        <w:t xml:space="preserve">.</w:t>
      </w:r>
    </w:p>
    <w:bookmarkEnd w:id="195"/>
    <w:bookmarkStart w:id="197"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96">
        <w:r>
          <w:rPr>
            <w:rStyle w:val="Hyperlink"/>
          </w:rPr>
          <w:t xml:space="preserve">https://doi.org/10.1016/S0003-2670(96)00412-6</w:t>
        </w:r>
      </w:hyperlink>
      <w:r>
        <w:t xml:space="preserve">.</w:t>
      </w:r>
    </w:p>
    <w:bookmarkEnd w:id="197"/>
    <w:bookmarkStart w:id="199"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98">
        <w:r>
          <w:rPr>
            <w:rStyle w:val="Hyperlink"/>
          </w:rPr>
          <w:t xml:space="preserve">https://www.for.gov.bc.ca/hfd/pubs/docs/lmh/Lmh66/LMH66{\_}volume2of2.pdf</w:t>
        </w:r>
      </w:hyperlink>
      <w:r>
        <w:t xml:space="preserve">.</w:t>
      </w:r>
    </w:p>
    <w:bookmarkEnd w:id="199"/>
    <w:bookmarkStart w:id="200"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00"/>
    <w:bookmarkStart w:id="202"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01">
        <w:r>
          <w:rPr>
            <w:rStyle w:val="Hyperlink"/>
          </w:rPr>
          <w:t xml:space="preserve">https://doi.org/10.1007/sl0533-010-9416-7</w:t>
        </w:r>
      </w:hyperlink>
      <w:r>
        <w:t xml:space="preserve">.</w:t>
      </w:r>
    </w:p>
    <w:bookmarkEnd w:id="202"/>
    <w:bookmarkStart w:id="204"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03">
        <w:r>
          <w:rPr>
            <w:rStyle w:val="Hyperlink"/>
          </w:rPr>
          <w:t xml:space="preserve">https://www.jstor.org/stable/24702986</w:t>
        </w:r>
      </w:hyperlink>
      <w:r>
        <w:t xml:space="preserve">.</w:t>
      </w:r>
    </w:p>
    <w:bookmarkEnd w:id="204"/>
    <w:bookmarkStart w:id="206"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05">
        <w:r>
          <w:rPr>
            <w:rStyle w:val="Hyperlink"/>
          </w:rPr>
          <w:t xml:space="preserve">https://doi.org/10.1016/j.mrrev.2007.09.001</w:t>
        </w:r>
      </w:hyperlink>
      <w:r>
        <w:t xml:space="preserve">.</w:t>
      </w:r>
    </w:p>
    <w:bookmarkEnd w:id="206"/>
    <w:bookmarkStart w:id="208"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07">
        <w:r>
          <w:rPr>
            <w:rStyle w:val="Hyperlink"/>
          </w:rPr>
          <w:t xml:space="preserve">https://doi.org/10.1111/j.1365-2427.2011.02613.x</w:t>
        </w:r>
      </w:hyperlink>
      <w:r>
        <w:t xml:space="preserve">.</w:t>
      </w:r>
    </w:p>
    <w:bookmarkEnd w:id="208"/>
    <w:bookmarkStart w:id="209"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09"/>
    <w:bookmarkStart w:id="210"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10"/>
    <w:bookmarkStart w:id="212"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11">
        <w:r>
          <w:rPr>
            <w:rStyle w:val="Hyperlink"/>
          </w:rPr>
          <w:t xml:space="preserve">https://doi.org/10.1007/s10533-008-9207-6</w:t>
        </w:r>
      </w:hyperlink>
      <w:r>
        <w:t xml:space="preserve">.</w:t>
      </w:r>
    </w:p>
    <w:bookmarkEnd w:id="212"/>
    <w:bookmarkStart w:id="214"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13">
        <w:r>
          <w:rPr>
            <w:rStyle w:val="Hyperlink"/>
          </w:rPr>
          <w:t xml:space="preserve">https://doi.org/10.1021/es030360x</w:t>
        </w:r>
      </w:hyperlink>
      <w:r>
        <w:t xml:space="preserve">.</w:t>
      </w:r>
    </w:p>
    <w:bookmarkEnd w:id="214"/>
    <w:bookmarkStart w:id="216"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15">
        <w:r>
          <w:rPr>
            <w:rStyle w:val="Hyperlink"/>
          </w:rPr>
          <w:t xml:space="preserve">https://doi.org/10.1007/s11356-015-4078-6</w:t>
        </w:r>
      </w:hyperlink>
      <w:r>
        <w:t xml:space="preserve">.</w:t>
      </w:r>
    </w:p>
    <w:bookmarkEnd w:id="216"/>
    <w:bookmarkStart w:id="218"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17">
        <w:r>
          <w:rPr>
            <w:rStyle w:val="Hyperlink"/>
          </w:rPr>
          <w:t xml:space="preserve">https://doi.org/10.1029/2018GL080005</w:t>
        </w:r>
      </w:hyperlink>
      <w:r>
        <w:t xml:space="preserve">.</w:t>
      </w:r>
    </w:p>
    <w:bookmarkEnd w:id="218"/>
    <w:bookmarkEnd w:id="219"/>
    <w:sectPr w:rsidR="007B57E6" w:rsidRPr="001469F7" w:rsidSect="002F162A">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Any and all geospatial data provided by the CRD was used with permission from the Capital Regional District.</w:t>
      </w:r>
    </w:p>
  </w:footnote>
  <w:footnote w:id="73">
    <w:p>
      <w:pPr>
        <w:pStyle w:val="FootnoteText"/>
      </w:pPr>
      <w:r>
        <w:rPr>
          <w:rStyle w:val="FootnoteReference"/>
        </w:rPr>
        <w:footnoteRef/>
      </w:r>
      <w:r>
        <w:t xml:space="preserve"> </w:t>
      </w:r>
      <w:r>
        <w:t xml:space="preserve">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80">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66" Target="media/rId6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6" Target="media/rId86.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87" Target="media/rId87.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hyperlink" Id="rId144" Target="http://scholar.google.com/scholar?hl=en%7B\&amp;%7DbtnG=Search%7B\&amp;%7Dq=intitle:Running+Pure%7B\#%7D1" TargetMode="External" /><Relationship Type="http://schemas.openxmlformats.org/officeDocument/2006/relationships/hyperlink" Id="rId192" Target="http://www.jstor.com/stable/41295152" TargetMode="External" /><Relationship Type="http://schemas.openxmlformats.org/officeDocument/2006/relationships/hyperlink" Id="rId122" Target="http://www.standardmethods.org/" TargetMode="External" /><Relationship Type="http://schemas.openxmlformats.org/officeDocument/2006/relationships/hyperlink" Id="rId175" Target="https://archive.org/details/metaltransportre00lazeuoft/mode/2up" TargetMode="External" /><Relationship Type="http://schemas.openxmlformats.org/officeDocument/2006/relationships/hyperlink" Id="rId114" Target="https://doi.org/10.1002/j.1551-8833.1995.tb06299.x" TargetMode="External" /><Relationship Type="http://schemas.openxmlformats.org/officeDocument/2006/relationships/hyperlink" Id="rId167" Target="https://doi.org/10.1002/j.1551-8833.1995.tb06302.x" TargetMode="External" /><Relationship Type="http://schemas.openxmlformats.org/officeDocument/2006/relationships/hyperlink" Id="rId173" Target="https://doi.org/10.1002/j.1551-8833.2002.tb10250.x" TargetMode="External" /><Relationship Type="http://schemas.openxmlformats.org/officeDocument/2006/relationships/hyperlink" Id="rId179" Target="https://doi.org/10.1002/rra.1504" TargetMode="External" /><Relationship Type="http://schemas.openxmlformats.org/officeDocument/2006/relationships/hyperlink" Id="rId211" Target="https://doi.org/10.1007/s10533-008-9207-6" TargetMode="External" /><Relationship Type="http://schemas.openxmlformats.org/officeDocument/2006/relationships/hyperlink" Id="rId188" Target="https://doi.org/10.1007/s10533-015-0103-6" TargetMode="External" /><Relationship Type="http://schemas.openxmlformats.org/officeDocument/2006/relationships/hyperlink" Id="rId194" Target="https://doi.org/10.1007/s11270-013-1651-9" TargetMode="External" /><Relationship Type="http://schemas.openxmlformats.org/officeDocument/2006/relationships/hyperlink" Id="rId215" Target="https://doi.org/10.1007/s11356-015-4078-6" TargetMode="External" /><Relationship Type="http://schemas.openxmlformats.org/officeDocument/2006/relationships/hyperlink" Id="rId201" Target="https://doi.org/10.1007/sl0533-010-9416-7" TargetMode="External" /><Relationship Type="http://schemas.openxmlformats.org/officeDocument/2006/relationships/hyperlink" Id="rId138" Target="https://doi.org/10.1016/B978-0-12-382092-1.00019-1" TargetMode="External" /><Relationship Type="http://schemas.openxmlformats.org/officeDocument/2006/relationships/hyperlink" Id="rId196" Target="https://doi.org/10.1016/S0003-2670(96)00412-6" TargetMode="External" /><Relationship Type="http://schemas.openxmlformats.org/officeDocument/2006/relationships/hyperlink" Id="rId181" Target="https://doi.org/10.1016/j.chemosphere.2011.01.018" TargetMode="External" /><Relationship Type="http://schemas.openxmlformats.org/officeDocument/2006/relationships/hyperlink" Id="rId165" Target="https://doi.org/10.1016/j.chemosphere.2015.03.039" TargetMode="External" /><Relationship Type="http://schemas.openxmlformats.org/officeDocument/2006/relationships/hyperlink" Id="rId183" Target="https://doi.org/10.1016/j.cis.2010.06.007" TargetMode="External" /><Relationship Type="http://schemas.openxmlformats.org/officeDocument/2006/relationships/hyperlink" Id="rId177" Target="https://doi.org/10.1016/j.jhazmat.2014.02.009" TargetMode="External" /><Relationship Type="http://schemas.openxmlformats.org/officeDocument/2006/relationships/hyperlink" Id="rId118" Target="https://doi.org/10.1016/j.jhydrol.2014.05.060" TargetMode="External" /><Relationship Type="http://schemas.openxmlformats.org/officeDocument/2006/relationships/hyperlink" Id="rId205" Target="https://doi.org/10.1016/j.mrrev.2007.09.001" TargetMode="External" /><Relationship Type="http://schemas.openxmlformats.org/officeDocument/2006/relationships/hyperlink" Id="rId146" Target="https://doi.org/10.1016/j.watres.2010.08.051" TargetMode="External" /><Relationship Type="http://schemas.openxmlformats.org/officeDocument/2006/relationships/hyperlink" Id="rId140" Target="https://doi.org/10.1016/j.watres.2016.08.031" TargetMode="External" /><Relationship Type="http://schemas.openxmlformats.org/officeDocument/2006/relationships/hyperlink" Id="rId213" Target="https://doi.org/10.1021/es030360x" TargetMode="External" /><Relationship Type="http://schemas.openxmlformats.org/officeDocument/2006/relationships/hyperlink" Id="rId116" Target="https://doi.org/10.1021/es103992s" TargetMode="External" /><Relationship Type="http://schemas.openxmlformats.org/officeDocument/2006/relationships/hyperlink" Id="rId120" Target="https://doi.org/10.1029/2007JG000674" TargetMode="External" /><Relationship Type="http://schemas.openxmlformats.org/officeDocument/2006/relationships/hyperlink" Id="rId217" Target="https://doi.org/10.1029/2018GL080005" TargetMode="External" /><Relationship Type="http://schemas.openxmlformats.org/officeDocument/2006/relationships/hyperlink" Id="rId112" Target="https://doi.org/10.1111/ele.12897" TargetMode="External" /><Relationship Type="http://schemas.openxmlformats.org/officeDocument/2006/relationships/hyperlink" Id="rId207" Target="https://doi.org/10.1111/j.1365-2427.2011.02613.x" TargetMode="External" /><Relationship Type="http://schemas.openxmlformats.org/officeDocument/2006/relationships/hyperlink" Id="rId136" Target="https://doi.org/10.1139/cjfas-2014-0400" TargetMode="External" /><Relationship Type="http://schemas.openxmlformats.org/officeDocument/2006/relationships/hyperlink" Id="rId153" Target="https://doi.org/10.13031/2013.15662" TargetMode="External" /><Relationship Type="http://schemas.openxmlformats.org/officeDocument/2006/relationships/hyperlink" Id="rId124" Target="https://doi.org/10.2105/SMWW.2882.113" TargetMode="External" /><Relationship Type="http://schemas.openxmlformats.org/officeDocument/2006/relationships/hyperlink" Id="rId129" Target="https://doi.org/10.2166/aqua.2008.064" TargetMode="External" /><Relationship Type="http://schemas.openxmlformats.org/officeDocument/2006/relationships/hyperlink" Id="rId151" Target="https://doi.org/10.3133/fs06700" TargetMode="External" /><Relationship Type="http://schemas.openxmlformats.org/officeDocument/2006/relationships/hyperlink" Id="rId149" Target="https://doi.org/10.4319/lo.2012.57.5.1453" TargetMode="External" /><Relationship Type="http://schemas.openxmlformats.org/officeDocument/2006/relationships/hyperlink" Id="rId190" Target="https://doi.org/10.5194/bg-10-2315-2013" TargetMode="External" /><Relationship Type="http://schemas.openxmlformats.org/officeDocument/2006/relationships/hyperlink" Id="rId133" Target="https://doi.org/IWSS-297445977-5079" TargetMode="External" /><Relationship Type="http://schemas.openxmlformats.org/officeDocument/2006/relationships/hyperlink" Id="rId169" Target="https://doi.org/doi:10.1046/j.1365-2427.1997.d01-539.x" TargetMode="External" /><Relationship Type="http://schemas.openxmlformats.org/officeDocument/2006/relationships/hyperlink" Id="rId142" Target="https://pubs.er.usgs.gov/publication/sir20075282" TargetMode="External" /><Relationship Type="http://schemas.openxmlformats.org/officeDocument/2006/relationships/hyperlink" Id="rId155" Target="https://www.canada.ca/content/dam/hc-sc/documents/programs/consultation-organic-matter-drinking-water/NOM20190129-eng.pdf" TargetMode="External" /><Relationship Type="http://schemas.openxmlformats.org/officeDocument/2006/relationships/hyperlink" Id="rId157" Target="https://www.canada.ca/content/dam/hc-sc/migration/hc-sc/ewh-semt/alt%7B\_%7Dformats/pdf/pubs/water-eau/sum%7B\_%7Dguide-res%7B\_%7Drecom/summary-table-August-15-2019-eng.pdf" TargetMode="External" /><Relationship Type="http://schemas.openxmlformats.org/officeDocument/2006/relationships/hyperlink" Id="rId159" Target="https://www.canada.ca/en/health-canada/services/healthy-living/your-health/environment/drinking-water-chlorination.html" TargetMode="External" /><Relationship Type="http://schemas.openxmlformats.org/officeDocument/2006/relationships/hyperlink" Id="rId131" Target="https://www.crd.bc.ca/project/past-capital-projects-and-initiatives/water-supply-plan" TargetMode="External" /><Relationship Type="http://schemas.openxmlformats.org/officeDocument/2006/relationships/hyperlink" Id="rId198"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161" Target="https://www.healthlinkbc.ca/healthlinkbc-files/drinking-water-chlorination" TargetMode="External" /><Relationship Type="http://schemas.openxmlformats.org/officeDocument/2006/relationships/hyperlink" Id="rId185" Target="https://www.jstor.org/stable/1937326" TargetMode="External" /><Relationship Type="http://schemas.openxmlformats.org/officeDocument/2006/relationships/hyperlink" Id="rId203" Target="https://www.jstor.org/stable/24702986" TargetMode="External" /><Relationship Type="http://schemas.openxmlformats.org/officeDocument/2006/relationships/hyperlink" Id="rId163" Target="https://www.jstor.org/stable/40058211" TargetMode="External" /><Relationship Type="http://schemas.openxmlformats.org/officeDocument/2006/relationships/hyperlink" Id="rId171" Target="https://www.jstor.org/stable/41311011" TargetMode="External" /><Relationship Type="http://schemas.openxmlformats.org/officeDocument/2006/relationships/hyperlink" Id="rId126"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44" Target="http://scholar.google.com/scholar?hl=en%7B\&amp;%7DbtnG=Search%7B\&amp;%7Dq=intitle:Running+Pure%7B\#%7D1" TargetMode="External" /><Relationship Type="http://schemas.openxmlformats.org/officeDocument/2006/relationships/hyperlink" Id="rId192" Target="http://www.jstor.com/stable/41295152" TargetMode="External" /><Relationship Type="http://schemas.openxmlformats.org/officeDocument/2006/relationships/hyperlink" Id="rId122" Target="http://www.standardmethods.org/" TargetMode="External" /><Relationship Type="http://schemas.openxmlformats.org/officeDocument/2006/relationships/hyperlink" Id="rId175" Target="https://archive.org/details/metaltransportre00lazeuoft/mode/2up" TargetMode="External" /><Relationship Type="http://schemas.openxmlformats.org/officeDocument/2006/relationships/hyperlink" Id="rId114" Target="https://doi.org/10.1002/j.1551-8833.1995.tb06299.x" TargetMode="External" /><Relationship Type="http://schemas.openxmlformats.org/officeDocument/2006/relationships/hyperlink" Id="rId167" Target="https://doi.org/10.1002/j.1551-8833.1995.tb06302.x" TargetMode="External" /><Relationship Type="http://schemas.openxmlformats.org/officeDocument/2006/relationships/hyperlink" Id="rId173" Target="https://doi.org/10.1002/j.1551-8833.2002.tb10250.x" TargetMode="External" /><Relationship Type="http://schemas.openxmlformats.org/officeDocument/2006/relationships/hyperlink" Id="rId179" Target="https://doi.org/10.1002/rra.1504" TargetMode="External" /><Relationship Type="http://schemas.openxmlformats.org/officeDocument/2006/relationships/hyperlink" Id="rId211" Target="https://doi.org/10.1007/s10533-008-9207-6" TargetMode="External" /><Relationship Type="http://schemas.openxmlformats.org/officeDocument/2006/relationships/hyperlink" Id="rId188" Target="https://doi.org/10.1007/s10533-015-0103-6" TargetMode="External" /><Relationship Type="http://schemas.openxmlformats.org/officeDocument/2006/relationships/hyperlink" Id="rId194" Target="https://doi.org/10.1007/s11270-013-1651-9" TargetMode="External" /><Relationship Type="http://schemas.openxmlformats.org/officeDocument/2006/relationships/hyperlink" Id="rId215" Target="https://doi.org/10.1007/s11356-015-4078-6" TargetMode="External" /><Relationship Type="http://schemas.openxmlformats.org/officeDocument/2006/relationships/hyperlink" Id="rId201" Target="https://doi.org/10.1007/sl0533-010-9416-7" TargetMode="External" /><Relationship Type="http://schemas.openxmlformats.org/officeDocument/2006/relationships/hyperlink" Id="rId138" Target="https://doi.org/10.1016/B978-0-12-382092-1.00019-1" TargetMode="External" /><Relationship Type="http://schemas.openxmlformats.org/officeDocument/2006/relationships/hyperlink" Id="rId196" Target="https://doi.org/10.1016/S0003-2670(96)00412-6" TargetMode="External" /><Relationship Type="http://schemas.openxmlformats.org/officeDocument/2006/relationships/hyperlink" Id="rId181" Target="https://doi.org/10.1016/j.chemosphere.2011.01.018" TargetMode="External" /><Relationship Type="http://schemas.openxmlformats.org/officeDocument/2006/relationships/hyperlink" Id="rId165" Target="https://doi.org/10.1016/j.chemosphere.2015.03.039" TargetMode="External" /><Relationship Type="http://schemas.openxmlformats.org/officeDocument/2006/relationships/hyperlink" Id="rId183" Target="https://doi.org/10.1016/j.cis.2010.06.007" TargetMode="External" /><Relationship Type="http://schemas.openxmlformats.org/officeDocument/2006/relationships/hyperlink" Id="rId177" Target="https://doi.org/10.1016/j.jhazmat.2014.02.009" TargetMode="External" /><Relationship Type="http://schemas.openxmlformats.org/officeDocument/2006/relationships/hyperlink" Id="rId118" Target="https://doi.org/10.1016/j.jhydrol.2014.05.060" TargetMode="External" /><Relationship Type="http://schemas.openxmlformats.org/officeDocument/2006/relationships/hyperlink" Id="rId205" Target="https://doi.org/10.1016/j.mrrev.2007.09.001" TargetMode="External" /><Relationship Type="http://schemas.openxmlformats.org/officeDocument/2006/relationships/hyperlink" Id="rId146" Target="https://doi.org/10.1016/j.watres.2010.08.051" TargetMode="External" /><Relationship Type="http://schemas.openxmlformats.org/officeDocument/2006/relationships/hyperlink" Id="rId140" Target="https://doi.org/10.1016/j.watres.2016.08.031" TargetMode="External" /><Relationship Type="http://schemas.openxmlformats.org/officeDocument/2006/relationships/hyperlink" Id="rId213" Target="https://doi.org/10.1021/es030360x" TargetMode="External" /><Relationship Type="http://schemas.openxmlformats.org/officeDocument/2006/relationships/hyperlink" Id="rId116" Target="https://doi.org/10.1021/es103992s" TargetMode="External" /><Relationship Type="http://schemas.openxmlformats.org/officeDocument/2006/relationships/hyperlink" Id="rId120" Target="https://doi.org/10.1029/2007JG000674" TargetMode="External" /><Relationship Type="http://schemas.openxmlformats.org/officeDocument/2006/relationships/hyperlink" Id="rId217" Target="https://doi.org/10.1029/2018GL080005" TargetMode="External" /><Relationship Type="http://schemas.openxmlformats.org/officeDocument/2006/relationships/hyperlink" Id="rId112" Target="https://doi.org/10.1111/ele.12897" TargetMode="External" /><Relationship Type="http://schemas.openxmlformats.org/officeDocument/2006/relationships/hyperlink" Id="rId207" Target="https://doi.org/10.1111/j.1365-2427.2011.02613.x" TargetMode="External" /><Relationship Type="http://schemas.openxmlformats.org/officeDocument/2006/relationships/hyperlink" Id="rId136" Target="https://doi.org/10.1139/cjfas-2014-0400" TargetMode="External" /><Relationship Type="http://schemas.openxmlformats.org/officeDocument/2006/relationships/hyperlink" Id="rId153" Target="https://doi.org/10.13031/2013.15662" TargetMode="External" /><Relationship Type="http://schemas.openxmlformats.org/officeDocument/2006/relationships/hyperlink" Id="rId124" Target="https://doi.org/10.2105/SMWW.2882.113" TargetMode="External" /><Relationship Type="http://schemas.openxmlformats.org/officeDocument/2006/relationships/hyperlink" Id="rId129" Target="https://doi.org/10.2166/aqua.2008.064" TargetMode="External" /><Relationship Type="http://schemas.openxmlformats.org/officeDocument/2006/relationships/hyperlink" Id="rId151" Target="https://doi.org/10.3133/fs06700" TargetMode="External" /><Relationship Type="http://schemas.openxmlformats.org/officeDocument/2006/relationships/hyperlink" Id="rId149" Target="https://doi.org/10.4319/lo.2012.57.5.1453" TargetMode="External" /><Relationship Type="http://schemas.openxmlformats.org/officeDocument/2006/relationships/hyperlink" Id="rId190" Target="https://doi.org/10.5194/bg-10-2315-2013" TargetMode="External" /><Relationship Type="http://schemas.openxmlformats.org/officeDocument/2006/relationships/hyperlink" Id="rId133" Target="https://doi.org/IWSS-297445977-5079" TargetMode="External" /><Relationship Type="http://schemas.openxmlformats.org/officeDocument/2006/relationships/hyperlink" Id="rId169" Target="https://doi.org/doi:10.1046/j.1365-2427.1997.d01-539.x" TargetMode="External" /><Relationship Type="http://schemas.openxmlformats.org/officeDocument/2006/relationships/hyperlink" Id="rId142" Target="https://pubs.er.usgs.gov/publication/sir20075282" TargetMode="External" /><Relationship Type="http://schemas.openxmlformats.org/officeDocument/2006/relationships/hyperlink" Id="rId155" Target="https://www.canada.ca/content/dam/hc-sc/documents/programs/consultation-organic-matter-drinking-water/NOM20190129-eng.pdf" TargetMode="External" /><Relationship Type="http://schemas.openxmlformats.org/officeDocument/2006/relationships/hyperlink" Id="rId157" Target="https://www.canada.ca/content/dam/hc-sc/migration/hc-sc/ewh-semt/alt%7B\_%7Dformats/pdf/pubs/water-eau/sum%7B\_%7Dguide-res%7B\_%7Drecom/summary-table-August-15-2019-eng.pdf" TargetMode="External" /><Relationship Type="http://schemas.openxmlformats.org/officeDocument/2006/relationships/hyperlink" Id="rId159" Target="https://www.canada.ca/en/health-canada/services/healthy-living/your-health/environment/drinking-water-chlorination.html" TargetMode="External" /><Relationship Type="http://schemas.openxmlformats.org/officeDocument/2006/relationships/hyperlink" Id="rId131" Target="https://www.crd.bc.ca/project/past-capital-projects-and-initiatives/water-supply-plan" TargetMode="External" /><Relationship Type="http://schemas.openxmlformats.org/officeDocument/2006/relationships/hyperlink" Id="rId198"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161" Target="https://www.healthlinkbc.ca/healthlinkbc-files/drinking-water-chlorination" TargetMode="External" /><Relationship Type="http://schemas.openxmlformats.org/officeDocument/2006/relationships/hyperlink" Id="rId185" Target="https://www.jstor.org/stable/1937326" TargetMode="External" /><Relationship Type="http://schemas.openxmlformats.org/officeDocument/2006/relationships/hyperlink" Id="rId203" Target="https://www.jstor.org/stable/24702986" TargetMode="External" /><Relationship Type="http://schemas.openxmlformats.org/officeDocument/2006/relationships/hyperlink" Id="rId163" Target="https://www.jstor.org/stable/40058211" TargetMode="External" /><Relationship Type="http://schemas.openxmlformats.org/officeDocument/2006/relationships/hyperlink" Id="rId171" Target="https://www.jstor.org/stable/41311011" TargetMode="External" /><Relationship Type="http://schemas.openxmlformats.org/officeDocument/2006/relationships/hyperlink" Id="rId126"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dcterms:created xsi:type="dcterms:W3CDTF">2020-07-15T06:49:33Z</dcterms:created>
  <dcterms:modified xsi:type="dcterms:W3CDTF">2020-07-15T06:49:33Z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